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698"/>
        <w:gridCol w:w="6379"/>
      </w:tblGrid>
      <w:tr w:rsidR="0029608D" w:rsidTr="0029608D">
        <w:trPr>
          <w:jc w:val="center"/>
        </w:trPr>
        <w:tc>
          <w:tcPr>
            <w:tcW w:w="743" w:type="dxa"/>
            <w:hideMark/>
          </w:tcPr>
          <w:p w:rsidR="0029608D" w:rsidRDefault="0029608D">
            <w:pPr>
              <w:spacing w:line="360" w:lineRule="auto"/>
              <w:jc w:val="both"/>
              <w:rPr>
                <w:rFonts w:ascii="Arial" w:hAnsi="Arial"/>
                <w:b/>
                <w:bCs/>
              </w:rPr>
            </w:pPr>
            <w:bookmarkStart w:id="0" w:name="_GoBack"/>
            <w:bookmarkEnd w:id="0"/>
            <w:r>
              <w:rPr>
                <w:rFonts w:ascii="Arial" w:hAnsi="Arial"/>
                <w:b/>
                <w:bCs/>
                <w:rtl/>
              </w:rPr>
              <w:t xml:space="preserve">בפני </w:t>
            </w:r>
          </w:p>
        </w:tc>
        <w:tc>
          <w:tcPr>
            <w:tcW w:w="8077" w:type="dxa"/>
            <w:gridSpan w:val="2"/>
          </w:tcPr>
          <w:p w:rsidR="0029608D" w:rsidRDefault="0029608D">
            <w:pPr>
              <w:rPr>
                <w:rFonts w:ascii="Arial" w:hAnsi="Arial"/>
                <w:b/>
                <w:bCs/>
              </w:rPr>
            </w:pPr>
            <w:r>
              <w:rPr>
                <w:rFonts w:ascii="Arial" w:hAnsi="Arial"/>
                <w:b/>
                <w:bCs/>
                <w:rtl/>
              </w:rPr>
              <w:t>כב' השופט  אביגדור דורות</w:t>
            </w:r>
          </w:p>
          <w:p w:rsidR="0029608D" w:rsidRDefault="0029608D">
            <w:pPr>
              <w:spacing w:line="360" w:lineRule="auto"/>
              <w:rPr>
                <w:rFonts w:ascii="Arial" w:hAnsi="Arial"/>
                <w:b/>
                <w:bCs/>
                <w:rtl/>
              </w:rPr>
            </w:pPr>
          </w:p>
        </w:tc>
      </w:tr>
      <w:tr w:rsidR="0029608D" w:rsidTr="0029608D">
        <w:trPr>
          <w:jc w:val="center"/>
        </w:trPr>
        <w:tc>
          <w:tcPr>
            <w:tcW w:w="2441" w:type="dxa"/>
            <w:gridSpan w:val="2"/>
            <w:hideMark/>
          </w:tcPr>
          <w:p w:rsidR="0029608D" w:rsidRDefault="0029608D">
            <w:pPr>
              <w:bidi w:val="0"/>
              <w:spacing w:line="360" w:lineRule="auto"/>
              <w:rPr>
                <w:rFonts w:ascii="Arial" w:hAnsi="Arial"/>
                <w:b/>
                <w:bCs/>
                <w:noProof w:val="0"/>
                <w:sz w:val="26"/>
                <w:szCs w:val="26"/>
              </w:rPr>
            </w:pPr>
            <w:r>
              <w:rPr>
                <w:rFonts w:ascii="Arial" w:hAnsi="Arial"/>
                <w:b/>
                <w:bCs/>
                <w:noProof w:val="0"/>
                <w:sz w:val="26"/>
                <w:szCs w:val="26"/>
                <w:rtl/>
              </w:rPr>
              <w:t xml:space="preserve">בעניין </w:t>
            </w:r>
          </w:p>
        </w:tc>
        <w:tc>
          <w:tcPr>
            <w:tcW w:w="6379" w:type="dxa"/>
            <w:hideMark/>
          </w:tcPr>
          <w:p w:rsidR="0029608D" w:rsidRDefault="0029608D">
            <w:pPr>
              <w:spacing w:line="360" w:lineRule="auto"/>
              <w:rPr>
                <w:b/>
                <w:bCs/>
                <w:noProof w:val="0"/>
                <w:sz w:val="26"/>
                <w:szCs w:val="26"/>
              </w:rPr>
            </w:pPr>
            <w:r>
              <w:rPr>
                <w:rFonts w:ascii="Arial" w:hAnsi="Arial"/>
                <w:b/>
                <w:bCs/>
                <w:noProof w:val="0"/>
                <w:sz w:val="26"/>
                <w:szCs w:val="26"/>
                <w:rtl/>
              </w:rPr>
              <w:t>היועץ המשפטי לממשלה</w:t>
            </w:r>
            <w:r>
              <w:rPr>
                <w:b/>
                <w:bCs/>
                <w:noProof w:val="0"/>
                <w:sz w:val="26"/>
                <w:szCs w:val="26"/>
                <w:rtl/>
              </w:rPr>
              <w:t xml:space="preserve"> </w:t>
            </w:r>
          </w:p>
          <w:p w:rsidR="0029608D" w:rsidRDefault="0029608D">
            <w:pPr>
              <w:spacing w:line="360" w:lineRule="auto"/>
              <w:rPr>
                <w:noProof w:val="0"/>
                <w:sz w:val="26"/>
                <w:szCs w:val="26"/>
                <w:rtl/>
              </w:rPr>
            </w:pPr>
            <w:r>
              <w:rPr>
                <w:noProof w:val="0"/>
                <w:sz w:val="26"/>
                <w:szCs w:val="26"/>
                <w:rtl/>
              </w:rPr>
              <w:t>ע"י ב"כ עו"ד יעל איגרא אונגר</w:t>
            </w:r>
          </w:p>
          <w:p w:rsidR="0029608D" w:rsidRDefault="0029608D">
            <w:pPr>
              <w:spacing w:line="360" w:lineRule="auto"/>
              <w:rPr>
                <w:noProof w:val="0"/>
                <w:sz w:val="26"/>
                <w:szCs w:val="26"/>
                <w:rtl/>
              </w:rPr>
            </w:pPr>
            <w:r>
              <w:rPr>
                <w:noProof w:val="0"/>
                <w:sz w:val="26"/>
                <w:szCs w:val="26"/>
                <w:rtl/>
              </w:rPr>
              <w:t>מפרקליטות מחוז ירושלים (פלילי)</w:t>
            </w:r>
          </w:p>
        </w:tc>
      </w:tr>
      <w:tr w:rsidR="0029608D" w:rsidTr="0029608D">
        <w:trPr>
          <w:jc w:val="center"/>
        </w:trPr>
        <w:tc>
          <w:tcPr>
            <w:tcW w:w="2441" w:type="dxa"/>
            <w:gridSpan w:val="2"/>
          </w:tcPr>
          <w:p w:rsidR="0029608D" w:rsidRDefault="0029608D">
            <w:pPr>
              <w:bidi w:val="0"/>
              <w:spacing w:line="360" w:lineRule="auto"/>
              <w:jc w:val="right"/>
              <w:rPr>
                <w:rFonts w:ascii="Arial" w:hAnsi="Arial"/>
                <w:b/>
                <w:bCs/>
                <w:noProof w:val="0"/>
                <w:sz w:val="26"/>
                <w:szCs w:val="26"/>
              </w:rPr>
            </w:pPr>
          </w:p>
        </w:tc>
        <w:tc>
          <w:tcPr>
            <w:tcW w:w="6379" w:type="dxa"/>
            <w:hideMark/>
          </w:tcPr>
          <w:p w:rsidR="0029608D" w:rsidRDefault="0029608D">
            <w:pPr>
              <w:spacing w:line="360" w:lineRule="auto"/>
              <w:rPr>
                <w:rFonts w:ascii="Arial" w:hAnsi="Arial"/>
                <w:b/>
                <w:bCs/>
                <w:noProof w:val="0"/>
                <w:sz w:val="26"/>
                <w:szCs w:val="26"/>
                <w:rtl/>
              </w:rPr>
            </w:pPr>
            <w:r>
              <w:rPr>
                <w:rFonts w:ascii="Arial" w:hAnsi="Arial" w:hint="cs"/>
                <w:b/>
                <w:bCs/>
                <w:noProof w:val="0"/>
                <w:sz w:val="26"/>
                <w:szCs w:val="26"/>
                <w:rtl/>
              </w:rPr>
              <w:t xml:space="preserve">                                                     </w:t>
            </w:r>
            <w:r>
              <w:rPr>
                <w:rFonts w:ascii="Arial" w:hAnsi="Arial"/>
                <w:b/>
                <w:bCs/>
                <w:noProof w:val="0"/>
                <w:sz w:val="26"/>
                <w:szCs w:val="26"/>
                <w:rtl/>
              </w:rPr>
              <w:t>המערער בע"ו 8613-04-23</w:t>
            </w:r>
          </w:p>
          <w:p w:rsidR="0029608D" w:rsidRDefault="0029608D" w:rsidP="0029608D">
            <w:pPr>
              <w:spacing w:line="360" w:lineRule="auto"/>
              <w:rPr>
                <w:rFonts w:ascii="Arial" w:hAnsi="Arial"/>
                <w:b/>
                <w:bCs/>
                <w:noProof w:val="0"/>
                <w:sz w:val="26"/>
                <w:szCs w:val="26"/>
                <w:rtl/>
              </w:rPr>
            </w:pPr>
            <w:r>
              <w:rPr>
                <w:rFonts w:ascii="Arial" w:hAnsi="Arial" w:hint="cs"/>
                <w:b/>
                <w:bCs/>
                <w:noProof w:val="0"/>
                <w:sz w:val="26"/>
                <w:szCs w:val="26"/>
                <w:rtl/>
              </w:rPr>
              <w:t xml:space="preserve">                                                     </w:t>
            </w:r>
            <w:r>
              <w:rPr>
                <w:rFonts w:ascii="Arial" w:hAnsi="Arial"/>
                <w:b/>
                <w:bCs/>
                <w:noProof w:val="0"/>
                <w:sz w:val="26"/>
                <w:szCs w:val="26"/>
                <w:rtl/>
              </w:rPr>
              <w:t>והמשיב בע"ו 28007-04-23</w:t>
            </w:r>
          </w:p>
        </w:tc>
      </w:tr>
      <w:tr w:rsidR="0029608D" w:rsidTr="0029608D">
        <w:trPr>
          <w:jc w:val="center"/>
        </w:trPr>
        <w:tc>
          <w:tcPr>
            <w:tcW w:w="8820" w:type="dxa"/>
            <w:gridSpan w:val="3"/>
          </w:tcPr>
          <w:p w:rsidR="0029608D" w:rsidRDefault="0029608D">
            <w:pPr>
              <w:spacing w:line="360" w:lineRule="auto"/>
              <w:rPr>
                <w:rFonts w:ascii="Arial" w:hAnsi="Arial"/>
                <w:b/>
                <w:bCs/>
                <w:noProof w:val="0"/>
                <w:sz w:val="26"/>
                <w:szCs w:val="26"/>
                <w:rtl/>
              </w:rPr>
            </w:pPr>
          </w:p>
          <w:p w:rsidR="0029608D" w:rsidRDefault="0029608D">
            <w:pPr>
              <w:spacing w:line="360" w:lineRule="auto"/>
              <w:jc w:val="center"/>
              <w:rPr>
                <w:rFonts w:ascii="Arial" w:hAnsi="Arial"/>
                <w:b/>
                <w:bCs/>
                <w:noProof w:val="0"/>
                <w:sz w:val="26"/>
                <w:szCs w:val="26"/>
                <w:rtl/>
              </w:rPr>
            </w:pPr>
            <w:r>
              <w:rPr>
                <w:rFonts w:ascii="Arial" w:hAnsi="Arial"/>
                <w:b/>
                <w:bCs/>
                <w:noProof w:val="0"/>
                <w:sz w:val="26"/>
                <w:szCs w:val="26"/>
                <w:rtl/>
              </w:rPr>
              <w:t>נגד</w:t>
            </w:r>
          </w:p>
          <w:p w:rsidR="0029608D" w:rsidRDefault="0029608D">
            <w:pPr>
              <w:spacing w:line="360" w:lineRule="auto"/>
              <w:rPr>
                <w:rFonts w:ascii="Arial" w:hAnsi="Arial"/>
                <w:b/>
                <w:bCs/>
                <w:noProof w:val="0"/>
                <w:sz w:val="26"/>
                <w:szCs w:val="26"/>
                <w:rtl/>
              </w:rPr>
            </w:pPr>
          </w:p>
        </w:tc>
      </w:tr>
      <w:tr w:rsidR="0029608D" w:rsidTr="0029608D">
        <w:trPr>
          <w:jc w:val="center"/>
        </w:trPr>
        <w:tc>
          <w:tcPr>
            <w:tcW w:w="2441" w:type="dxa"/>
            <w:gridSpan w:val="2"/>
            <w:hideMark/>
          </w:tcPr>
          <w:p w:rsidR="0029608D" w:rsidRDefault="0029608D">
            <w:pPr>
              <w:spacing w:line="360" w:lineRule="auto"/>
              <w:rPr>
                <w:rFonts w:ascii="Arial" w:hAnsi="Arial"/>
                <w:b/>
                <w:bCs/>
                <w:noProof w:val="0"/>
                <w:sz w:val="26"/>
                <w:szCs w:val="26"/>
              </w:rPr>
            </w:pPr>
            <w:r>
              <w:rPr>
                <w:rFonts w:ascii="Arial" w:hAnsi="Arial"/>
                <w:b/>
                <w:bCs/>
                <w:noProof w:val="0"/>
                <w:sz w:val="26"/>
                <w:szCs w:val="26"/>
                <w:rtl/>
              </w:rPr>
              <w:t>ובעניין:</w:t>
            </w:r>
          </w:p>
        </w:tc>
        <w:tc>
          <w:tcPr>
            <w:tcW w:w="6379" w:type="dxa"/>
            <w:hideMark/>
          </w:tcPr>
          <w:p w:rsidR="0029608D" w:rsidRDefault="0029608D">
            <w:pPr>
              <w:spacing w:line="360" w:lineRule="auto"/>
              <w:rPr>
                <w:b/>
                <w:bCs/>
                <w:noProof w:val="0"/>
                <w:sz w:val="26"/>
                <w:szCs w:val="26"/>
              </w:rPr>
            </w:pPr>
            <w:r>
              <w:rPr>
                <w:rFonts w:ascii="Arial" w:hAnsi="Arial" w:hint="cs"/>
                <w:b/>
                <w:bCs/>
                <w:noProof w:val="0"/>
                <w:sz w:val="26"/>
                <w:szCs w:val="26"/>
                <w:rtl/>
              </w:rPr>
              <w:t>פלוני</w:t>
            </w:r>
          </w:p>
          <w:p w:rsidR="0029608D" w:rsidRDefault="0029608D">
            <w:pPr>
              <w:spacing w:line="360" w:lineRule="auto"/>
              <w:rPr>
                <w:noProof w:val="0"/>
                <w:sz w:val="26"/>
                <w:szCs w:val="26"/>
                <w:rtl/>
              </w:rPr>
            </w:pPr>
            <w:r>
              <w:rPr>
                <w:noProof w:val="0"/>
                <w:sz w:val="26"/>
                <w:szCs w:val="26"/>
                <w:rtl/>
              </w:rPr>
              <w:t>ע"י ב"כ עו"ד אריאל הרמן; עו"ד רבני בנאי אלון</w:t>
            </w:r>
          </w:p>
        </w:tc>
      </w:tr>
      <w:tr w:rsidR="0029608D" w:rsidTr="0029608D">
        <w:trPr>
          <w:jc w:val="center"/>
        </w:trPr>
        <w:tc>
          <w:tcPr>
            <w:tcW w:w="2441" w:type="dxa"/>
            <w:gridSpan w:val="2"/>
          </w:tcPr>
          <w:p w:rsidR="0029608D" w:rsidRDefault="0029608D">
            <w:pPr>
              <w:spacing w:line="360" w:lineRule="auto"/>
              <w:jc w:val="right"/>
              <w:rPr>
                <w:rFonts w:ascii="Arial" w:hAnsi="Arial"/>
                <w:b/>
                <w:bCs/>
                <w:noProof w:val="0"/>
                <w:sz w:val="26"/>
                <w:szCs w:val="26"/>
                <w:rtl/>
              </w:rPr>
            </w:pPr>
          </w:p>
        </w:tc>
        <w:tc>
          <w:tcPr>
            <w:tcW w:w="6379" w:type="dxa"/>
            <w:hideMark/>
          </w:tcPr>
          <w:p w:rsidR="0029608D" w:rsidRDefault="0029608D">
            <w:pPr>
              <w:spacing w:line="360" w:lineRule="auto"/>
              <w:rPr>
                <w:rFonts w:ascii="Arial" w:hAnsi="Arial"/>
                <w:b/>
                <w:bCs/>
                <w:noProof w:val="0"/>
                <w:sz w:val="26"/>
                <w:szCs w:val="26"/>
                <w:rtl/>
              </w:rPr>
            </w:pPr>
            <w:r>
              <w:rPr>
                <w:rFonts w:ascii="Arial" w:hAnsi="Arial" w:hint="cs"/>
                <w:b/>
                <w:bCs/>
                <w:noProof w:val="0"/>
                <w:sz w:val="26"/>
                <w:szCs w:val="26"/>
                <w:rtl/>
              </w:rPr>
              <w:t xml:space="preserve">                                                      </w:t>
            </w:r>
            <w:r>
              <w:rPr>
                <w:rFonts w:ascii="Arial" w:hAnsi="Arial"/>
                <w:b/>
                <w:bCs/>
                <w:noProof w:val="0"/>
                <w:sz w:val="26"/>
                <w:szCs w:val="26"/>
                <w:rtl/>
              </w:rPr>
              <w:t>המערער בע"ו 28007-04-23</w:t>
            </w:r>
          </w:p>
          <w:p w:rsidR="0029608D" w:rsidRDefault="0029608D">
            <w:pPr>
              <w:spacing w:line="360" w:lineRule="auto"/>
              <w:rPr>
                <w:rFonts w:ascii="Arial" w:hAnsi="Arial"/>
                <w:b/>
                <w:bCs/>
                <w:noProof w:val="0"/>
                <w:sz w:val="26"/>
                <w:szCs w:val="26"/>
                <w:rtl/>
              </w:rPr>
            </w:pPr>
            <w:r>
              <w:rPr>
                <w:rFonts w:ascii="Arial" w:hAnsi="Arial" w:hint="cs"/>
                <w:b/>
                <w:bCs/>
                <w:noProof w:val="0"/>
                <w:sz w:val="26"/>
                <w:szCs w:val="26"/>
                <w:rtl/>
              </w:rPr>
              <w:t xml:space="preserve">                                                       </w:t>
            </w:r>
            <w:r>
              <w:rPr>
                <w:rFonts w:ascii="Arial" w:hAnsi="Arial"/>
                <w:b/>
                <w:bCs/>
                <w:noProof w:val="0"/>
                <w:sz w:val="26"/>
                <w:szCs w:val="26"/>
                <w:rtl/>
              </w:rPr>
              <w:t>והמשיב בע"ו 8613-04-23</w:t>
            </w:r>
          </w:p>
        </w:tc>
      </w:tr>
    </w:tbl>
    <w:p w:rsidR="0029608D" w:rsidRDefault="0029608D" w:rsidP="0029608D">
      <w:pPr>
        <w:rPr>
          <w:rtl/>
        </w:rPr>
      </w:pPr>
    </w:p>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29608D">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29608D" w:rsidRDefault="0029608D" w:rsidP="0029608D">
            <w:pPr>
              <w:bidi w:val="0"/>
              <w:jc w:val="center"/>
              <w:rPr>
                <w:rFonts w:ascii="Arial" w:hAnsi="Arial"/>
                <w:b/>
                <w:bCs/>
                <w:noProof w:val="0"/>
                <w:sz w:val="28"/>
                <w:szCs w:val="28"/>
                <w:u w:val="single"/>
              </w:rPr>
            </w:pPr>
            <w:r>
              <w:rPr>
                <w:rFonts w:ascii="Arial" w:hAnsi="Arial" w:hint="cs"/>
                <w:b/>
                <w:bCs/>
                <w:noProof w:val="0"/>
                <w:sz w:val="28"/>
                <w:szCs w:val="28"/>
                <w:u w:val="single"/>
                <w:rtl/>
              </w:rPr>
              <w:t>(נוסח מותר לפרסום)</w:t>
            </w:r>
          </w:p>
        </w:tc>
      </w:tr>
    </w:tbl>
    <w:p w:rsidR="00694556" w:rsidRDefault="00694556">
      <w:pPr>
        <w:spacing w:line="360" w:lineRule="auto"/>
        <w:jc w:val="both"/>
        <w:rPr>
          <w:rFonts w:ascii="Arial" w:hAnsi="Arial"/>
          <w:noProof w:val="0"/>
          <w:rtl/>
        </w:rPr>
      </w:pPr>
    </w:p>
    <w:p w:rsidR="0029608D" w:rsidRDefault="0029608D" w:rsidP="0029608D">
      <w:pPr>
        <w:spacing w:line="360" w:lineRule="auto"/>
        <w:jc w:val="both"/>
        <w:rPr>
          <w:rFonts w:ascii="Arial" w:hAnsi="Arial"/>
          <w:noProof w:val="0"/>
        </w:rPr>
      </w:pPr>
    </w:p>
    <w:p w:rsidR="0029608D" w:rsidRDefault="0029608D" w:rsidP="0029608D">
      <w:pPr>
        <w:spacing w:line="360" w:lineRule="auto"/>
        <w:jc w:val="both"/>
        <w:rPr>
          <w:rFonts w:ascii="Arial" w:hAnsi="Arial"/>
          <w:noProof w:val="0"/>
          <w:rtl/>
        </w:rPr>
      </w:pPr>
      <w:r>
        <w:rPr>
          <w:rFonts w:ascii="Arial" w:hAnsi="Arial"/>
          <w:noProof w:val="0"/>
          <w:rtl/>
        </w:rPr>
        <w:t>לפניי שני ערעורים על החלטת הועדה הפסיכיאטרית המיוחדת (כבוד השופטת המחוזית בדימוס יהודית שיצר, ד"ר יוסף גובר, קרימינולוג קליני וד"ר יעקב מרגולין, מומחה בפסיכיאטריה) מיום 2.4.2023, בגדרה הוחלט לאפשר למאושפז פלוני (להלן: "</w:t>
      </w:r>
      <w:r>
        <w:rPr>
          <w:rFonts w:ascii="Arial" w:hAnsi="Arial"/>
          <w:b/>
          <w:bCs/>
          <w:noProof w:val="0"/>
          <w:rtl/>
        </w:rPr>
        <w:t>פלוני</w:t>
      </w:r>
      <w:r>
        <w:rPr>
          <w:rFonts w:ascii="Arial" w:hAnsi="Arial"/>
          <w:noProof w:val="0"/>
          <w:rtl/>
        </w:rPr>
        <w:t>") יציאות לעבודה במאפיה הסמוכה לבית החולים וזאת בליווי במהלך היציאה והחזרה לבית החולים.</w:t>
      </w:r>
    </w:p>
    <w:p w:rsidR="0029608D" w:rsidRDefault="0029608D" w:rsidP="0029608D">
      <w:pPr>
        <w:spacing w:line="360" w:lineRule="auto"/>
        <w:jc w:val="both"/>
        <w:rPr>
          <w:rFonts w:ascii="Arial" w:hAnsi="Arial"/>
          <w:noProof w:val="0"/>
          <w:rtl/>
        </w:rPr>
      </w:pPr>
    </w:p>
    <w:p w:rsidR="0029608D" w:rsidRDefault="0029608D" w:rsidP="0029608D">
      <w:pPr>
        <w:spacing w:line="360" w:lineRule="auto"/>
        <w:jc w:val="both"/>
        <w:rPr>
          <w:rFonts w:ascii="Arial" w:hAnsi="Arial"/>
          <w:b/>
          <w:bCs/>
          <w:noProof w:val="0"/>
          <w:u w:val="single"/>
          <w:rtl/>
        </w:rPr>
      </w:pPr>
      <w:r>
        <w:rPr>
          <w:rFonts w:ascii="Arial" w:hAnsi="Arial"/>
          <w:b/>
          <w:bCs/>
          <w:noProof w:val="0"/>
          <w:u w:val="single"/>
          <w:rtl/>
        </w:rPr>
        <w:t>רקע עובדתי וועדות קודמות</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התיאור המובא להלן בפסקאות 1-4 מצוטט מפסק דיני מיום 3.11.2022 בערעור קודם מטעם פלוני בתיק ע"ו 44176-10-22.</w:t>
      </w:r>
    </w:p>
    <w:p w:rsidR="0029608D" w:rsidRDefault="0029608D" w:rsidP="0029608D">
      <w:pPr>
        <w:pStyle w:val="ad"/>
        <w:spacing w:line="360" w:lineRule="auto"/>
        <w:jc w:val="both"/>
        <w:rPr>
          <w:rFonts w:ascii="Arial" w:hAnsi="Arial"/>
          <w:noProof w:val="0"/>
        </w:rPr>
      </w:pPr>
    </w:p>
    <w:p w:rsidR="0029608D" w:rsidRDefault="0029608D" w:rsidP="0029608D">
      <w:pPr>
        <w:pStyle w:val="ad"/>
        <w:spacing w:line="360" w:lineRule="auto"/>
        <w:jc w:val="both"/>
        <w:rPr>
          <w:rFonts w:ascii="Arial" w:hAnsi="Arial"/>
          <w:noProof w:val="0"/>
          <w:rtl/>
        </w:rPr>
      </w:pPr>
      <w:r>
        <w:rPr>
          <w:rFonts w:ascii="Arial" w:hAnsi="Arial"/>
          <w:noProof w:val="0"/>
          <w:rtl/>
        </w:rPr>
        <w:t xml:space="preserve">פלוני הואשם בביצוע שלושה ניסיונות רצח ותקיפת עובד ציבור כמפורט בכתב האישום בתיק תפ"ח 38491-12-20. על פי כתב האישום מתאריך 17.12.20 פלוני שהה בבית אמו ביום 27.11.20 כאשר באותה עת שהו בבית אמו, אחיו, גיסתו ובנם התינוק של אחיו  וגיסתו בן השלושה חודשים. על פי האישום הראשון, פלוני נטל סכין רחבה בעלת אורך להב של כ-20 ס"מ מהמטבח והניף את הסכין לעבר אחיו ושיסף את פניו. בנוסף, פלוני הניף את הסכין </w:t>
      </w:r>
      <w:r>
        <w:rPr>
          <w:rFonts w:ascii="Arial" w:hAnsi="Arial"/>
          <w:noProof w:val="0"/>
          <w:rtl/>
        </w:rPr>
        <w:lastRenderedPageBreak/>
        <w:t xml:space="preserve">לעבר אמו והצליח לדקור אותה בידה השמאלית. לאחר שגיסתו נמלטה לכיוון המרפסת היא נפלה על גבה ופלוני הניף את הסכין לעבר גרונה ושיסף את צווארה. לאחר מכן הניף פלוני את הסכין לעבר התינוק ופגע בגופו של אחיו. במהלך ההתרחשות נפל התינוק על השטיח בסלון ונחבל בראשו. על פי האישום השני, בתאריך 28.11.20 נלקח פלוני לבית מעצר במגרש הרוסים בירושלים, התנגד לביצוע חיפוש על גופו וכאשר שניים מהסוהרים ניסו לאזקו, נשך פלוני את אחד מהם בכף ידו הימנית. </w:t>
      </w:r>
    </w:p>
    <w:p w:rsidR="0029608D" w:rsidRDefault="0029608D" w:rsidP="0029608D">
      <w:pPr>
        <w:spacing w:line="360" w:lineRule="auto"/>
        <w:ind w:left="360"/>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Pr>
      </w:pPr>
      <w:r>
        <w:rPr>
          <w:rFonts w:ascii="Arial" w:hAnsi="Arial"/>
          <w:noProof w:val="0"/>
          <w:rtl/>
        </w:rPr>
        <w:t xml:space="preserve">ביום 3.5.22 נקבע בהליך הפלילי כי במועד ביצוע המעשים המיוחסים לפלוני בכתב האישום הוא לא היה בר עונשין. משכך, הורה בית משפט זה (כב' סגן הנשיא רפי כרמל והשופטים אריה רומנוב ושירלי רנר) ביום 30.5.22 על זיכויו של פלוני. ביום זה ניתן פסק דין בגדרו נדרש בית המשפט לשאלה האם יש מקום להחיל על פלוני את הוראת סעיף 15(ב) לחוק טיפול בחולי נפש, התשנ"א-1991 (להלן – </w:t>
      </w:r>
      <w:r>
        <w:rPr>
          <w:rFonts w:ascii="Arial" w:hAnsi="Arial"/>
          <w:b/>
          <w:bCs/>
          <w:noProof w:val="0"/>
          <w:rtl/>
        </w:rPr>
        <w:t>חוק טיפול בחולי נפש</w:t>
      </w:r>
      <w:r>
        <w:rPr>
          <w:rFonts w:ascii="Arial" w:hAnsi="Arial"/>
          <w:noProof w:val="0"/>
          <w:rtl/>
        </w:rPr>
        <w:t xml:space="preserve">). בפסק הדין צוין כי עיקר המחלוקת נובע מכך שהמעשים בוצעו בחודש נובמבר 2020 ובחלוף הזמן, כך טענו הסנגורים, יש כדי ללמד על כך שמצבו של פלוני הוטב ואין הוא זקוק לאשפוז. בפסק הדין צוין כי נקודת המוצא לצורך הדיון היא שהצורך להגן על שלום הציבור מפני מסוכנות נאשם החולה במחלת נפש, עשוי להצדיק כפייה של טיפול או אשפוז וכי המבחן הנו משפטי ולא רפואי. בית המשפט ציין בפסק דינו את רע"פ 966/17 בעניין </w:t>
      </w:r>
      <w:r>
        <w:rPr>
          <w:rFonts w:ascii="Arial" w:hAnsi="Arial"/>
          <w:noProof w:val="0"/>
          <w:u w:val="single"/>
          <w:rtl/>
        </w:rPr>
        <w:t>ניהאד סלאמה</w:t>
      </w:r>
      <w:r>
        <w:rPr>
          <w:rFonts w:ascii="Arial" w:hAnsi="Arial"/>
          <w:noProof w:val="0"/>
          <w:rtl/>
        </w:rPr>
        <w:t xml:space="preserve"> שם צוין כי ההגדרה של חולה במצב של "רמיסיה" היא הגדרה רחבה שכורכת יחד מצבים רבים ושונים. נקבע כי אין לקבל את הטענה כי בכל מקרה של הפוגה בסימפטומים של המחלה, תישלל מבית המשפט הסמכות להורות על טיפול כפוי. נקבע כי נאשם יכול להיות מוגדר כמי שהוא "עדיין חולה" (כאמור בסעיף 15(ב) לחוק טיפול בחולי נפש) גם אם במועד ההחלטה השיפוטית הוא מצוי ברמיסיה. נקבע כי הקביעה השיפוטית אם הנאשם "עדיין חולה" צריכה להיעשות לאור תכליתה של הוראת החוק ותוך התחשבות במכלול הנתונים העובדתיים והכלים המקצועיים, במובן זה שמחלתו עלולה לסכן את הציבור. בפסק הדין מיום 30.5.22 נקבע (בפסקה 11) כך: </w:t>
      </w:r>
    </w:p>
    <w:p w:rsidR="0029608D" w:rsidRDefault="0029608D" w:rsidP="0029608D">
      <w:pPr>
        <w:spacing w:line="360" w:lineRule="auto"/>
        <w:ind w:left="720" w:hanging="720"/>
        <w:jc w:val="both"/>
        <w:rPr>
          <w:rFonts w:ascii="Arial" w:hAnsi="Arial"/>
          <w:noProof w:val="0"/>
          <w:rtl/>
        </w:rPr>
      </w:pPr>
    </w:p>
    <w:p w:rsidR="0029608D" w:rsidRDefault="0029608D" w:rsidP="0029608D">
      <w:pPr>
        <w:spacing w:line="360" w:lineRule="auto"/>
        <w:ind w:left="1440" w:right="1134"/>
        <w:jc w:val="both"/>
        <w:rPr>
          <w:rFonts w:ascii="Arial" w:hAnsi="Arial"/>
          <w:noProof w:val="0"/>
          <w:rtl/>
        </w:rPr>
      </w:pPr>
      <w:r>
        <w:rPr>
          <w:rFonts w:ascii="Arial" w:hAnsi="Arial"/>
          <w:noProof w:val="0"/>
          <w:rtl/>
        </w:rPr>
        <w:t>"</w:t>
      </w:r>
      <w:r>
        <w:rPr>
          <w:rFonts w:ascii="Arial" w:hAnsi="Arial"/>
          <w:b/>
          <w:bCs/>
          <w:noProof w:val="0"/>
          <w:rtl/>
        </w:rPr>
        <w:t>לכך יש לצרף את העובדה שמדובר בפוסט טראומה מורכבת נוכח נסיבות היווצרותה, ואת החשש, שאינו חשש בעלמא, שהנאשם יפסיק את הטיפול או לא יתמיד בו וכתוצאה מכך מצבו יתדרדר. בנוסף לכך, קיים חשש שהנאשם ישוב וישתמש בסמים מסוכנים דוגמת אלה שלקח לפני האירועים מושא כתב האישום (</w:t>
      </w:r>
      <w:r>
        <w:rPr>
          <w:rFonts w:ascii="Arial" w:hAnsi="Arial"/>
          <w:b/>
          <w:bCs/>
          <w:noProof w:val="0"/>
        </w:rPr>
        <w:t>LSD</w:t>
      </w:r>
      <w:r>
        <w:rPr>
          <w:rFonts w:ascii="Arial" w:hAnsi="Arial"/>
          <w:b/>
          <w:bCs/>
          <w:noProof w:val="0"/>
          <w:rtl/>
        </w:rPr>
        <w:t>), ואם כך יהיה, יש מקום לדאגה רבה שהוא יגיע למצב פסיכוטי חריף כפי שאירע בעבר, שעה שמצבו הפסיכוטי הביא אותו לביצוע מעשים חמורים ומסוכנים ביותר שאותם עשה נגד בני  משפחה קרובים (אמו, אחיו)</w:t>
      </w:r>
      <w:r>
        <w:rPr>
          <w:rFonts w:ascii="Arial" w:hAnsi="Arial"/>
          <w:noProof w:val="0"/>
          <w:rtl/>
        </w:rPr>
        <w:t>"</w:t>
      </w:r>
    </w:p>
    <w:p w:rsidR="0029608D" w:rsidRDefault="0029608D" w:rsidP="0029608D">
      <w:pPr>
        <w:spacing w:line="360" w:lineRule="auto"/>
        <w:jc w:val="both"/>
        <w:rPr>
          <w:rFonts w:ascii="Arial" w:hAnsi="Arial"/>
          <w:noProof w:val="0"/>
          <w:rtl/>
        </w:rPr>
      </w:pPr>
      <w:r>
        <w:rPr>
          <w:rFonts w:ascii="Arial" w:hAnsi="Arial"/>
          <w:noProof w:val="0"/>
          <w:rtl/>
        </w:rPr>
        <w:t xml:space="preserve"> </w:t>
      </w:r>
    </w:p>
    <w:p w:rsidR="0029608D" w:rsidRDefault="0029608D" w:rsidP="0029608D">
      <w:pPr>
        <w:spacing w:line="360" w:lineRule="auto"/>
        <w:ind w:left="720"/>
        <w:jc w:val="both"/>
        <w:rPr>
          <w:rFonts w:ascii="Arial" w:hAnsi="Arial"/>
          <w:noProof w:val="0"/>
          <w:rtl/>
        </w:rPr>
      </w:pPr>
      <w:r>
        <w:rPr>
          <w:rFonts w:ascii="Arial" w:hAnsi="Arial"/>
          <w:noProof w:val="0"/>
          <w:rtl/>
        </w:rPr>
        <w:lastRenderedPageBreak/>
        <w:t xml:space="preserve">בית המשפט קבע בפסק הדין כי גם אם יש מקום לקבל את הטענה שבעת הזאת קיימת רגיעה במצבו של פלוני, אין כל ביטחון שרגיעה זו יציבה ובטוחה, באופן שמאפשר את שחרורו ללא כל פיקוח ובקרה. בית המשפט ציין כי אין הוא מתעלם מהנסיבות המיוחדות של פלוני, ואולם, חרף כך, הצורך והחובה במתן הגנה ראויה לציבור מחייב כי שחרורו ייעשה רק לאחר שהוא יהיה נתון בטיפול, בהשגחה, ובפיקוח של גורמי רפואה מקצועיים, אשר יעקבו אחר מצבו מקרוב וייקבעו שלא נשקפת כל סכנה ממנו. בית המשפט אימץ את דבריו של פסיכיאטר מחוז ירושלים, ד"ר צ'רנס, בעדותו מיום 18.7.21 (עמ' 33 לפרוטוקול, שו' 5-11) שהתייחס לצורך בהדרגתיות, וביצירת אמון שתאפשר לשחרר את פלוני לחופשות. נקבע כי אימוץ דבריו של ד"ר צ'רנס, תוך שילוב הגורמים האפשריים להתפרצות כפי שצוינו לעיל, מוליכים למסקנה לפיה לא ניתן לומר שפלוני איננו חולה, אלא שהוא נכון לעכשיו "עדיין חולה" ושחרורו עלול לסכן את שלום הציבור. לפיכך, נקבע כי יש לתת לגבי המערער צו אשפוז במסגרת סעיף 15(ב) לחוק טיפול בחולי נפש. בית המשפט מצא נסיבות "מקלות במיוחד" של ביצוע מעשה העבירה ולכן העמיד את תקופת האשפוז המרבית בעניינו של פלוני על שנה אחת מתחילת אשפוזו בבית החולים.   </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ומהן אותן נסיבות "מקלות במיוחד"? אלה פורטו בהחלטה מיום 3.5.22 כדלקמן: לאחר שפלוני השתמש בסמים ולנוכח מצבו, הוא אשפז את עצמו מרצון בבית חולים "איתנים" שם הוא היה מאושפז במשך למעלה מעשרה ימים. ביום האירוע הוא סירב להשתחרר מבית החולים והוא ומשפחתו ביקשו כי הוא יישאר מאושפז. בית החולים נאלץ להפעיל כוח על פלוני על מנת להוציאו מתחומי בית החולים. פלוני שב ורץ פנימה למתחם לאחר שהוצא ממנו. המעשים שפורטו בכתב האישום נעשו על ידי פלוני באותו היום שעות ספורות לאחר ששוחרר בניגוד לרצונו מבית החולים. צוין כי פלוני ומשפחתו ביקשו כי הוא ימשיך להיות מאושפז בבית החולים ואם בקשתם הייתה נענית, האירועים שפורטו בכתב האישום לא היו מתרחשים. עוד צוין, כי המקור לפוסט טראומה החריפה שממנה סובל פלוני נעוץ בנסיבות חייו הקשות מאד, לנוכח היותו קורבן להתעללות קשה וחמורה שהייתה מנת חלקו בעת שהיה נער כבן 13, במסגרת הפרשה הידועה כ"פרשת אליאור חן". </w:t>
      </w:r>
    </w:p>
    <w:p w:rsidR="0029608D" w:rsidRDefault="0029608D" w:rsidP="0029608D">
      <w:pPr>
        <w:spacing w:line="360" w:lineRule="auto"/>
        <w:ind w:left="720" w:hanging="720"/>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ערעור שהגיש היועץ המשפטי לממשלה לבית המשפט העליון התקבל. בית המשפט העליון הורה על החזרת הדיון לבית המשפט המחוזי לדיון בשאלת התקופה המרבית שבה יימצא פלוני באשפוז כפוי. בית המשפט המחוזי חזר וקבע כי התקופה המרבית של האשפוז תהיה שנה אחת ושוב הוגש ערעור לבית המשפט העליון. בית המשפט העליון קיים דיון בערעור אולם הערעור מטעם המדינה טרם הוכרע עד היום. </w:t>
      </w:r>
    </w:p>
    <w:p w:rsidR="0029608D" w:rsidRDefault="0029608D" w:rsidP="0029608D">
      <w:pPr>
        <w:pStyle w:val="ad"/>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ביום 2.10.2022 התכנסה הועדה הפסיכיאטרית המיוחדת (כבוד השופטת המחוזית בדימוס י' שיצר, ד"ר מ' לבן, פסיכיאטרית וד"ר יוסף גובר, קרימינולוג קליני), אשר החליטה להותיר </w:t>
      </w:r>
      <w:r>
        <w:rPr>
          <w:rFonts w:ascii="Arial" w:hAnsi="Arial"/>
          <w:noProof w:val="0"/>
          <w:rtl/>
        </w:rPr>
        <w:lastRenderedPageBreak/>
        <w:t xml:space="preserve">את סטטוס האשפוז הכפוי על כנו עם המלצה להעביר את פלוני למחלקה פתוחה. נקבע בהחלטה כי כדי לאפשר ביצוע הערכה מקיפה, לרבות הערכת מסוכנות, פלוני יישאר מאושפז בבית החולים, תוך העברתו למחלקה פתוחה לצורך ביצוע ההשלמות הנדרשות. על החלטה זו הוגש ערעור מטעם פלוני (ע"ו 44176-10-22), אשר נדון בפניי. הערעור התקבל בחלקו, במובן זה שעניינו של פלוני הוחזר לוועדה הפסיכיאטרית המיוחדת על מנת להשלים את החלטתה בשאלת המסוכנות וכן בנוגע לאפשרות של טיפול מרפאתי כפוי, להבדיל מאשפוז כפוי בבית חולים. </w:t>
      </w:r>
    </w:p>
    <w:p w:rsidR="0029608D" w:rsidRDefault="0029608D" w:rsidP="0029608D">
      <w:pPr>
        <w:pStyle w:val="ad"/>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ביום 16.11.2022 התכנסה הועדה הפסיכיאטרית (כבוד השופט המחוזי בדימוס אילן שיף, פרופסור מ' מרק, פסיכיאטר ורון בנצור, קרימינולוג קליני), אשר מצאה כי קיימת מסוכנות לאחרים ברמה בינונית והחליטה להשאיר את סטטוס האשפוז על כנו. הועדה קבעה כדלקמן:</w:t>
      </w:r>
    </w:p>
    <w:p w:rsidR="0029608D" w:rsidRDefault="0029608D" w:rsidP="0029608D">
      <w:pPr>
        <w:pStyle w:val="ad"/>
        <w:rPr>
          <w:rFonts w:ascii="Arial" w:hAnsi="Arial"/>
          <w:noProof w:val="0"/>
        </w:rPr>
      </w:pPr>
    </w:p>
    <w:p w:rsidR="0029608D" w:rsidRDefault="0029608D" w:rsidP="0029608D">
      <w:pPr>
        <w:pStyle w:val="ad"/>
        <w:spacing w:line="360" w:lineRule="auto"/>
        <w:ind w:left="1440"/>
        <w:jc w:val="both"/>
        <w:rPr>
          <w:rFonts w:ascii="Arial" w:hAnsi="Arial"/>
          <w:b/>
          <w:bCs/>
          <w:noProof w:val="0"/>
          <w:rtl/>
        </w:rPr>
      </w:pPr>
      <w:r>
        <w:rPr>
          <w:rFonts w:ascii="Arial" w:hAnsi="Arial"/>
          <w:b/>
          <w:bCs/>
          <w:noProof w:val="0"/>
          <w:rtl/>
        </w:rPr>
        <w:t>"בהיעדר ממצאים של הטסטים הפסיכודיאגנוסטיים, שבוצעו לפי הוראת הוועדה בהרכבה הקודם, ולנוכח ממצאי בדיקתנו, ובהיעדר הבעת חרטה, אפשר שהמטופל סובל ממחלת נפש ברמיסיה חלקית או ממצב פסיכוטי על רקע שימשו בסמים שחלף, אולם טרם התבררה יציבות הרמיסיה, הנדרשת לנוכח חומרת העבירות. כך או כך, נראה כי לנוכח חומרת מעשי העבירה (ניסיון לרצוח בסכין 3 מבני משפחתו: אמו, אחיו ותינוק), הרמיסיה אינה ממושכת דיה ואינה מלאה באופן שניתן לקבוע בוודאות גבוהה כי אין המטופל מהווה סיכון לאחרים, על רקע מחלת נפש.</w:t>
      </w:r>
    </w:p>
    <w:p w:rsidR="0029608D" w:rsidRDefault="0029608D" w:rsidP="0029608D">
      <w:pPr>
        <w:pStyle w:val="ad"/>
        <w:spacing w:line="360" w:lineRule="auto"/>
        <w:ind w:left="1440"/>
        <w:jc w:val="both"/>
        <w:rPr>
          <w:rFonts w:ascii="Arial" w:hAnsi="Arial"/>
          <w:b/>
          <w:bCs/>
          <w:noProof w:val="0"/>
          <w:rtl/>
        </w:rPr>
      </w:pPr>
      <w:r>
        <w:rPr>
          <w:rFonts w:ascii="Arial" w:hAnsi="Arial"/>
          <w:b/>
          <w:bCs/>
          <w:noProof w:val="0"/>
          <w:rtl/>
        </w:rPr>
        <w:t>בהקשר זה יצויין כי מסקנתו היא שהמטופל מהווה סכנה ברמה בינונית לאחרים.</w:t>
      </w:r>
    </w:p>
    <w:p w:rsidR="0029608D" w:rsidRDefault="0029608D" w:rsidP="0029608D">
      <w:pPr>
        <w:pStyle w:val="ad"/>
        <w:spacing w:line="360" w:lineRule="auto"/>
        <w:ind w:left="1440"/>
        <w:jc w:val="both"/>
        <w:rPr>
          <w:rFonts w:ascii="Arial" w:hAnsi="Arial"/>
          <w:b/>
          <w:bCs/>
          <w:noProof w:val="0"/>
          <w:rtl/>
        </w:rPr>
      </w:pPr>
      <w:r>
        <w:rPr>
          <w:rFonts w:ascii="Arial" w:hAnsi="Arial"/>
          <w:b/>
          <w:bCs/>
          <w:noProof w:val="0"/>
          <w:rtl/>
        </w:rPr>
        <w:t>שקלנו האם לנוכח נסיבות המקרה ועמדתו של מנהל המחלקה בה מאושפז המטופל, ניתן להסתפק  בהמרת צו האשפוז לצו לטיפול מרפאתי כפוי והגענו למסקנה שאין ניתן להסתפק בצעד זה מהסיבות הבאות:</w:t>
      </w:r>
    </w:p>
    <w:p w:rsidR="0029608D" w:rsidRDefault="0029608D" w:rsidP="0029608D">
      <w:pPr>
        <w:pStyle w:val="ad"/>
        <w:numPr>
          <w:ilvl w:val="0"/>
          <w:numId w:val="2"/>
        </w:numPr>
        <w:spacing w:line="360" w:lineRule="auto"/>
        <w:jc w:val="both"/>
        <w:rPr>
          <w:rFonts w:ascii="Arial" w:hAnsi="Arial"/>
          <w:b/>
          <w:bCs/>
          <w:noProof w:val="0"/>
          <w:rtl/>
        </w:rPr>
      </w:pPr>
      <w:r>
        <w:rPr>
          <w:rFonts w:ascii="Arial" w:hAnsi="Arial"/>
          <w:b/>
          <w:bCs/>
          <w:noProof w:val="0"/>
          <w:rtl/>
        </w:rPr>
        <w:t>המטופל טרם הפנים את הצורך בטיפול גמילה.</w:t>
      </w:r>
    </w:p>
    <w:p w:rsidR="0029608D" w:rsidRDefault="0029608D" w:rsidP="0029608D">
      <w:pPr>
        <w:pStyle w:val="ad"/>
        <w:numPr>
          <w:ilvl w:val="0"/>
          <w:numId w:val="2"/>
        </w:numPr>
        <w:spacing w:line="360" w:lineRule="auto"/>
        <w:jc w:val="both"/>
        <w:rPr>
          <w:rFonts w:ascii="Arial" w:hAnsi="Arial"/>
          <w:b/>
          <w:bCs/>
          <w:noProof w:val="0"/>
        </w:rPr>
      </w:pPr>
      <w:r>
        <w:rPr>
          <w:rFonts w:ascii="Arial" w:hAnsi="Arial"/>
          <w:b/>
          <w:bCs/>
          <w:noProof w:val="0"/>
          <w:rtl/>
        </w:rPr>
        <w:t>המסוכנות הנשקפת ממנו היא ברמה בינונית.</w:t>
      </w:r>
    </w:p>
    <w:p w:rsidR="0029608D" w:rsidRDefault="0029608D" w:rsidP="0029608D">
      <w:pPr>
        <w:pStyle w:val="ad"/>
        <w:numPr>
          <w:ilvl w:val="0"/>
          <w:numId w:val="2"/>
        </w:numPr>
        <w:spacing w:line="360" w:lineRule="auto"/>
        <w:jc w:val="both"/>
        <w:rPr>
          <w:rFonts w:ascii="Arial" w:hAnsi="Arial"/>
          <w:b/>
          <w:bCs/>
          <w:noProof w:val="0"/>
        </w:rPr>
      </w:pPr>
      <w:r>
        <w:rPr>
          <w:rFonts w:ascii="Arial" w:hAnsi="Arial"/>
          <w:b/>
          <w:bCs/>
          <w:noProof w:val="0"/>
          <w:rtl/>
        </w:rPr>
        <w:t>בהיעדר טסטים פסיכודיאטגנוסטיים לא ברור האם מדובר מחלת נפש ראשונית או במחלת נפש משנית לסמים ו/או בתחלואה כפולה.</w:t>
      </w:r>
    </w:p>
    <w:p w:rsidR="0029608D" w:rsidRDefault="0029608D" w:rsidP="0029608D">
      <w:pPr>
        <w:spacing w:line="360" w:lineRule="auto"/>
        <w:jc w:val="both"/>
        <w:rPr>
          <w:rFonts w:ascii="Arial" w:hAnsi="Arial"/>
          <w:b/>
          <w:bCs/>
          <w:noProof w:val="0"/>
        </w:rPr>
      </w:pPr>
    </w:p>
    <w:p w:rsidR="0029608D" w:rsidRDefault="0029608D" w:rsidP="0029608D">
      <w:pPr>
        <w:spacing w:line="360" w:lineRule="auto"/>
        <w:ind w:left="1440"/>
        <w:jc w:val="both"/>
        <w:rPr>
          <w:rFonts w:ascii="Arial" w:hAnsi="Arial"/>
          <w:b/>
          <w:bCs/>
          <w:noProof w:val="0"/>
          <w:rtl/>
        </w:rPr>
      </w:pPr>
      <w:r>
        <w:rPr>
          <w:rFonts w:ascii="Arial" w:hAnsi="Arial"/>
          <w:b/>
          <w:bCs/>
          <w:noProof w:val="0"/>
          <w:rtl/>
        </w:rPr>
        <w:t>ייתכן ולאחר קבלת תוצאות הטסטים הפסיכודיאגנוסטיים יהא מקום לשקול עמדות אחרות, אולם בתנאים מסומים, או אז יוכל המטופל לפנות פעם נוספת לוועדה הפסיכיאטרית המיוחדת, בבקשה לדון בעניינו."</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ביום 1.2.2023 התכנסה הועדה הפסיכיאטרית המיוחדת (כבוד השופט המחוזי בדימוס אילן שיף, ד"ר אורן חגי, פסיכיאטר ורון בנצור, קרימינולוג קליני) פעם נוספת. הועדה מצאה מסוכנות עצמית ולאחרים ברמה בינונית והחליטה להשאיר את סטטוס האשפוז הכפוי </w:t>
      </w:r>
      <w:r>
        <w:rPr>
          <w:rFonts w:ascii="Arial" w:hAnsi="Arial"/>
          <w:noProof w:val="0"/>
          <w:rtl/>
        </w:rPr>
        <w:lastRenderedPageBreak/>
        <w:t xml:space="preserve">במחלקה סגורה על כנו. בנימוקי הועדה צוין כי מדובר במקרה סבוך ומורכב, הן מהבחינה האבחונית והן מבחינת הערכת המסוכנות. צוין בהחלטה כי הוגשה לוועדה חוות דעת פסיכודיאגנוסטית שלא מצאה עדויות להפרעות בתפיסה וחשיבה, כך שאין במבחנים עדויות למצב פסיכוטי. הועדה המליצה על עריכת מבדק </w:t>
      </w:r>
      <w:r>
        <w:rPr>
          <w:rFonts w:ascii="Arial" w:hAnsi="Arial"/>
          <w:noProof w:val="0"/>
        </w:rPr>
        <w:t>NMPI</w:t>
      </w:r>
      <w:r>
        <w:rPr>
          <w:rFonts w:ascii="Arial" w:hAnsi="Arial"/>
          <w:noProof w:val="0"/>
          <w:rtl/>
        </w:rPr>
        <w:t xml:space="preserve"> שסביר כי ישפוך אור נוסף על מצבו הנפשי של פלוני ועל הטיפול הנדרש. הועדה הוסיפה וציינה כך:</w:t>
      </w:r>
    </w:p>
    <w:p w:rsidR="0029608D" w:rsidRDefault="0029608D" w:rsidP="0029608D">
      <w:pPr>
        <w:pStyle w:val="ad"/>
        <w:spacing w:line="360" w:lineRule="auto"/>
        <w:jc w:val="both"/>
        <w:rPr>
          <w:rFonts w:ascii="Arial" w:hAnsi="Arial"/>
          <w:noProof w:val="0"/>
        </w:rPr>
      </w:pPr>
    </w:p>
    <w:p w:rsidR="0029608D" w:rsidRDefault="0029608D" w:rsidP="0029608D">
      <w:pPr>
        <w:pStyle w:val="ad"/>
        <w:spacing w:line="360" w:lineRule="auto"/>
        <w:ind w:left="1440"/>
        <w:jc w:val="both"/>
        <w:rPr>
          <w:rFonts w:ascii="Arial" w:hAnsi="Arial"/>
          <w:b/>
          <w:bCs/>
          <w:noProof w:val="0"/>
          <w:rtl/>
        </w:rPr>
      </w:pPr>
      <w:r>
        <w:rPr>
          <w:rFonts w:ascii="Arial" w:hAnsi="Arial"/>
          <w:noProof w:val="0"/>
          <w:rtl/>
        </w:rPr>
        <w:t>"</w:t>
      </w:r>
      <w:r>
        <w:rPr>
          <w:rFonts w:ascii="Arial" w:hAnsi="Arial"/>
          <w:b/>
          <w:bCs/>
          <w:noProof w:val="0"/>
          <w:rtl/>
        </w:rPr>
        <w:t>ניתן איפא לומר שאף לו היינו מקבלים את עמדת המומחים כי המטופל אינו סובל ממחלת נפש וכי אין נשקפת ממנו סכנה לעצמו ולאחרים, עדיין לא ניתן לקבוע כי חל שינוי, חל שינוי יסודי בסיסי ורציף, לאורך זמן, במצבו הנפשי, באופן המאפשר קביעה בוודאות גבוהה כי אין נשקפת ממנו סכנה לעצמו ולאחרים...</w:t>
      </w:r>
    </w:p>
    <w:p w:rsidR="0029608D" w:rsidRDefault="0029608D" w:rsidP="0029608D">
      <w:pPr>
        <w:pStyle w:val="ad"/>
        <w:spacing w:line="360" w:lineRule="auto"/>
        <w:ind w:left="1440"/>
        <w:jc w:val="both"/>
        <w:rPr>
          <w:rFonts w:ascii="Arial" w:hAnsi="Arial"/>
          <w:b/>
          <w:bCs/>
          <w:noProof w:val="0"/>
          <w:rtl/>
        </w:rPr>
      </w:pPr>
    </w:p>
    <w:p w:rsidR="0029608D" w:rsidRDefault="0029608D" w:rsidP="0029608D">
      <w:pPr>
        <w:pStyle w:val="ad"/>
        <w:spacing w:line="360" w:lineRule="auto"/>
        <w:ind w:left="1440"/>
        <w:jc w:val="both"/>
        <w:rPr>
          <w:rFonts w:ascii="Arial" w:hAnsi="Arial"/>
          <w:noProof w:val="0"/>
          <w:rtl/>
        </w:rPr>
      </w:pPr>
      <w:r>
        <w:rPr>
          <w:rFonts w:ascii="Arial" w:hAnsi="Arial"/>
          <w:b/>
          <w:bCs/>
          <w:noProof w:val="0"/>
          <w:rtl/>
        </w:rPr>
        <w:t>כעולה מהאמור לעיל, גם לו היינו מקבלים את העמדה שחל שינוי יסודי בסיסי ורציף, במצבו של המטופל, עדיין לא ניתן היה לקבוע כי שינוי זה "חל" לאורך זמן."</w:t>
      </w:r>
    </w:p>
    <w:p w:rsidR="0029608D" w:rsidRDefault="0029608D" w:rsidP="0029608D">
      <w:pPr>
        <w:spacing w:line="360" w:lineRule="auto"/>
        <w:jc w:val="both"/>
        <w:rPr>
          <w:rFonts w:ascii="Arial" w:hAnsi="Arial"/>
          <w:noProof w:val="0"/>
          <w:rtl/>
        </w:rPr>
      </w:pPr>
    </w:p>
    <w:p w:rsidR="0029608D" w:rsidRDefault="0029608D" w:rsidP="0029608D">
      <w:pPr>
        <w:spacing w:line="360" w:lineRule="auto"/>
        <w:ind w:left="720"/>
        <w:jc w:val="both"/>
        <w:rPr>
          <w:rFonts w:ascii="Arial" w:hAnsi="Arial"/>
          <w:noProof w:val="0"/>
          <w:rtl/>
        </w:rPr>
      </w:pPr>
      <w:r>
        <w:rPr>
          <w:rFonts w:ascii="Arial" w:hAnsi="Arial"/>
          <w:noProof w:val="0"/>
          <w:rtl/>
        </w:rPr>
        <w:t>לבסוף ציינה הועדה את דרך הייסורים במהלך חייו של פלוני, אולם הוסיפה כי בכך אין כדי לשנות את הדין.</w:t>
      </w:r>
    </w:p>
    <w:p w:rsidR="0029608D" w:rsidRDefault="0029608D" w:rsidP="0029608D">
      <w:pPr>
        <w:spacing w:line="360" w:lineRule="auto"/>
        <w:ind w:left="720"/>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על ההחלטה הנ"ל הוגש לבית משפט זה ערעור (ע"ו 41689-03-23) אולם הוגשה מטעם פלוני הודעה על משיכת הערעור ובית המשפט הורה על מחיקתו ביום 4.4.2023. כזכור, ביום 2.4.2023 התכנסה הועדה הפסיכיאטרית המיוחדת ועל החלטתה הוגשו שני הערעורים שבפניי.</w:t>
      </w:r>
    </w:p>
    <w:p w:rsidR="0029608D" w:rsidRDefault="0029608D" w:rsidP="0029608D">
      <w:pPr>
        <w:spacing w:line="360" w:lineRule="auto"/>
        <w:jc w:val="both"/>
        <w:rPr>
          <w:rFonts w:ascii="Arial" w:hAnsi="Arial"/>
          <w:noProof w:val="0"/>
        </w:rPr>
      </w:pPr>
    </w:p>
    <w:p w:rsidR="0029608D" w:rsidRDefault="0029608D" w:rsidP="0029608D">
      <w:pPr>
        <w:spacing w:line="360" w:lineRule="auto"/>
        <w:jc w:val="both"/>
        <w:rPr>
          <w:rFonts w:ascii="Arial" w:hAnsi="Arial"/>
          <w:b/>
          <w:bCs/>
          <w:noProof w:val="0"/>
          <w:u w:val="single"/>
          <w:rtl/>
        </w:rPr>
      </w:pPr>
      <w:r>
        <w:rPr>
          <w:rFonts w:ascii="Arial" w:hAnsi="Arial"/>
          <w:b/>
          <w:bCs/>
          <w:noProof w:val="0"/>
          <w:u w:val="single"/>
          <w:rtl/>
        </w:rPr>
        <w:t>החלטת הועדה מיום 2.4.2023</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בממצאי בדיקת פלוני על ידי הועדה צוין כי לא נצפו סימנים פסיכוטיים פעילים אולם קיים פער בין תוכן דבריו ובין הביטוי האפקטיבי. נקבע כי התובנה של פלוני למכלול מצבו הנפשי עדין פגומה. הועדה מצאה כי קיימת מסוכנות עצמית ולאחרים ברמה נמוכה. הועדה קבעה כך:</w:t>
      </w:r>
    </w:p>
    <w:p w:rsidR="0029608D" w:rsidRDefault="0029608D" w:rsidP="0029608D">
      <w:pPr>
        <w:pStyle w:val="ad"/>
        <w:spacing w:line="360" w:lineRule="auto"/>
        <w:jc w:val="both"/>
        <w:rPr>
          <w:rFonts w:ascii="Arial" w:hAnsi="Arial"/>
          <w:noProof w:val="0"/>
        </w:rPr>
      </w:pPr>
    </w:p>
    <w:p w:rsidR="0029608D" w:rsidRDefault="0029608D" w:rsidP="0029608D">
      <w:pPr>
        <w:pStyle w:val="ad"/>
        <w:spacing w:line="360" w:lineRule="auto"/>
        <w:ind w:left="1440"/>
        <w:jc w:val="both"/>
        <w:rPr>
          <w:rFonts w:ascii="Arial" w:hAnsi="Arial"/>
          <w:b/>
          <w:bCs/>
          <w:noProof w:val="0"/>
          <w:rtl/>
        </w:rPr>
      </w:pPr>
      <w:r>
        <w:rPr>
          <w:rFonts w:ascii="Arial" w:hAnsi="Arial"/>
          <w:noProof w:val="0"/>
          <w:rtl/>
        </w:rPr>
        <w:t>"</w:t>
      </w:r>
      <w:r>
        <w:rPr>
          <w:rFonts w:ascii="Arial" w:hAnsi="Arial"/>
          <w:b/>
          <w:bCs/>
          <w:noProof w:val="0"/>
          <w:rtl/>
        </w:rPr>
        <w:t>1. כדי לבחון בצורה עניינית והדרגתית את מצבו ויכולת השתלבותו של המטופל אנו סבורים שיש מקום לאפשר לו יציאות לעבודה במאפייה הסמוכה לבית החולים וזאת בליווי, על אף שאנו מודעים לקרבת מקום העבודה לבית החולים תדירות היציאה לעבודה תיקבע על ידי מנהל בית החולים.</w:t>
      </w:r>
    </w:p>
    <w:p w:rsidR="0029608D" w:rsidRDefault="0029608D" w:rsidP="0029608D">
      <w:pPr>
        <w:pStyle w:val="ad"/>
        <w:spacing w:line="360" w:lineRule="auto"/>
        <w:ind w:left="1440"/>
        <w:jc w:val="both"/>
        <w:rPr>
          <w:rFonts w:ascii="Arial" w:hAnsi="Arial"/>
          <w:b/>
          <w:bCs/>
          <w:noProof w:val="0"/>
          <w:rtl/>
        </w:rPr>
      </w:pPr>
      <w:r>
        <w:rPr>
          <w:rFonts w:ascii="Arial" w:hAnsi="Arial"/>
          <w:b/>
          <w:bCs/>
          <w:noProof w:val="0"/>
          <w:rtl/>
        </w:rPr>
        <w:lastRenderedPageBreak/>
        <w:t>2. הוועדה עומדת על מילוי החלטותיה שניתנו ביום 2.10.22, דהיינו: להעברת המטופל למחלקה פתוחה, לבצע הערכה מקיפה לרבות מבחנים פסיכודיאגנוסטיים ומבחנים אקטואריים וכן מתן פסיכותרפיה ייעודית לתסמונת הפוסט טראומטית ממנה סובל כהתחלת טיפול שיאפשר המשך טיפול גם במסגרת אחרת בה ישהה."</w:t>
      </w:r>
    </w:p>
    <w:p w:rsidR="0029608D" w:rsidRDefault="0029608D" w:rsidP="0029608D">
      <w:pPr>
        <w:spacing w:line="360" w:lineRule="auto"/>
        <w:jc w:val="both"/>
        <w:rPr>
          <w:rFonts w:ascii="Arial" w:hAnsi="Arial"/>
          <w:b/>
          <w:bCs/>
          <w:noProof w:val="0"/>
          <w:rtl/>
        </w:rPr>
      </w:pPr>
    </w:p>
    <w:p w:rsidR="0029608D" w:rsidRDefault="0029608D" w:rsidP="0029608D">
      <w:pPr>
        <w:spacing w:line="360" w:lineRule="auto"/>
        <w:jc w:val="both"/>
        <w:rPr>
          <w:rFonts w:ascii="Arial" w:hAnsi="Arial"/>
          <w:noProof w:val="0"/>
          <w:rtl/>
        </w:rPr>
      </w:pPr>
      <w:r>
        <w:rPr>
          <w:rFonts w:ascii="Arial" w:hAnsi="Arial"/>
          <w:noProof w:val="0"/>
          <w:rtl/>
        </w:rPr>
        <w:tab/>
        <w:t>בנימוקי הועדה צוין כך:</w:t>
      </w:r>
    </w:p>
    <w:p w:rsidR="0029608D" w:rsidRDefault="0029608D" w:rsidP="0029608D">
      <w:pPr>
        <w:spacing w:line="360" w:lineRule="auto"/>
        <w:jc w:val="both"/>
        <w:rPr>
          <w:rFonts w:ascii="Arial" w:hAnsi="Arial"/>
          <w:noProof w:val="0"/>
          <w:rtl/>
        </w:rPr>
      </w:pPr>
      <w:r>
        <w:rPr>
          <w:rFonts w:ascii="Arial" w:hAnsi="Arial"/>
          <w:noProof w:val="0"/>
          <w:rtl/>
        </w:rPr>
        <w:tab/>
      </w:r>
    </w:p>
    <w:p w:rsidR="0029608D" w:rsidRDefault="0029608D" w:rsidP="0029608D">
      <w:pPr>
        <w:spacing w:line="360" w:lineRule="auto"/>
        <w:ind w:left="1440"/>
        <w:jc w:val="both"/>
        <w:rPr>
          <w:rFonts w:ascii="Arial" w:hAnsi="Arial"/>
          <w:b/>
          <w:bCs/>
          <w:noProof w:val="0"/>
          <w:rtl/>
        </w:rPr>
      </w:pPr>
      <w:r>
        <w:rPr>
          <w:rFonts w:ascii="Arial" w:hAnsi="Arial"/>
          <w:noProof w:val="0"/>
          <w:rtl/>
        </w:rPr>
        <w:t>"</w:t>
      </w:r>
      <w:r>
        <w:rPr>
          <w:rFonts w:ascii="Arial" w:hAnsi="Arial"/>
          <w:b/>
          <w:bCs/>
          <w:noProof w:val="0"/>
          <w:rtl/>
        </w:rPr>
        <w:t>המקרה שבפנינו הוא מקרה חריג ביותר כפי שגם ציין בית המשפט המחוזי אשר הורה על צו האשפוז. כל הגורמים המטפלים סבורים שהמטופל אינו סובל ממחלת נפש במובנה המשפטי הטהור, אלא מתסמינים נפשיים שונים אחרים ומסיפור חיים בלתי שגרתי וקשה ביותר. כל אלה אכן מצריכים טיפול נפשי, אך ספק אם מחלקה סגורה היא המקום המתאים לכך.</w:t>
      </w:r>
    </w:p>
    <w:p w:rsidR="0029608D" w:rsidRDefault="0029608D" w:rsidP="0029608D">
      <w:pPr>
        <w:spacing w:line="360" w:lineRule="auto"/>
        <w:ind w:left="1440"/>
        <w:jc w:val="both"/>
        <w:rPr>
          <w:rFonts w:ascii="Arial" w:hAnsi="Arial"/>
          <w:b/>
          <w:bCs/>
          <w:noProof w:val="0"/>
          <w:rtl/>
        </w:rPr>
      </w:pPr>
      <w:r>
        <w:rPr>
          <w:rFonts w:ascii="Arial" w:hAnsi="Arial"/>
          <w:b/>
          <w:bCs/>
          <w:noProof w:val="0"/>
          <w:rtl/>
        </w:rPr>
        <w:t>יחד עם זאת אנו סבורים שהמטופל זקוק לעזרה טיפולית וחזרה הדרגתית ומבוקרת לחיים סדירים בקהילה. לפיכך דרכי ביניים ופתרונות הדרגתיים הם בשלב הנוכחי בגדר פתרון סביר למצב הבלתי רגיל בו נתקלנו.</w:t>
      </w:r>
    </w:p>
    <w:p w:rsidR="0029608D" w:rsidRDefault="0029608D" w:rsidP="0029608D">
      <w:pPr>
        <w:spacing w:line="360" w:lineRule="auto"/>
        <w:ind w:left="720" w:firstLine="720"/>
        <w:jc w:val="both"/>
        <w:rPr>
          <w:rFonts w:ascii="Arial" w:hAnsi="Arial"/>
          <w:b/>
          <w:bCs/>
          <w:noProof w:val="0"/>
          <w:rtl/>
        </w:rPr>
      </w:pPr>
      <w:r>
        <w:rPr>
          <w:rFonts w:ascii="Arial" w:hAnsi="Arial"/>
          <w:b/>
          <w:bCs/>
          <w:noProof w:val="0"/>
          <w:rtl/>
        </w:rPr>
        <w:t>משום כך, הורינו את אשר הורנו."</w:t>
      </w:r>
    </w:p>
    <w:p w:rsidR="0029608D" w:rsidRDefault="0029608D" w:rsidP="0029608D">
      <w:pPr>
        <w:spacing w:line="360" w:lineRule="auto"/>
        <w:jc w:val="both"/>
        <w:rPr>
          <w:rFonts w:ascii="Arial" w:hAnsi="Arial"/>
          <w:noProof w:val="0"/>
          <w:rtl/>
        </w:rPr>
      </w:pPr>
    </w:p>
    <w:p w:rsidR="0029608D" w:rsidRDefault="0029608D" w:rsidP="0029608D">
      <w:pPr>
        <w:spacing w:line="360" w:lineRule="auto"/>
        <w:jc w:val="both"/>
        <w:rPr>
          <w:rFonts w:ascii="Arial" w:hAnsi="Arial"/>
          <w:noProof w:val="0"/>
          <w:rtl/>
        </w:rPr>
      </w:pPr>
      <w:r>
        <w:rPr>
          <w:rFonts w:ascii="Arial" w:hAnsi="Arial"/>
          <w:b/>
          <w:bCs/>
          <w:noProof w:val="0"/>
          <w:u w:val="single"/>
          <w:rtl/>
        </w:rPr>
        <w:t>טענות הצדדים</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בערעור היועץ המשפטי לממשלה נטען כי הועדה שגתה בהחלטתה, אשר עלולה לסכן את בטחון הציבור. נטען כי קביעת הועדה כי המסוכנות הינה ברמה נמוכה הינה שגויה ונטולת בסיס ראוי, נוכח העובדה כי כחודשיים קודם לכן, קבעה הועדה שדנה בעניינו של פלוני ביום 1.2.2023 כי קיימת מסוכנות ברמה בינונית ונוכח חוות דעת המחלקה בה פלוני מאושפז מיום 30.3.2023 לפיה לא חל שינוי במצבו של פלוני וכי הוא לא עבר טיפול בפרק הזמן הזה שיש בו כדי להפחית את מסוכנותו.</w:t>
      </w:r>
    </w:p>
    <w:p w:rsidR="0029608D" w:rsidRDefault="0029608D" w:rsidP="0029608D">
      <w:pPr>
        <w:pStyle w:val="ad"/>
        <w:spacing w:line="360" w:lineRule="auto"/>
        <w:jc w:val="both"/>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בערעור צוין כי בדיקת ה-</w:t>
      </w:r>
      <w:r>
        <w:rPr>
          <w:rFonts w:ascii="Arial" w:hAnsi="Arial"/>
          <w:noProof w:val="0"/>
        </w:rPr>
        <w:t>NMPI</w:t>
      </w:r>
      <w:r>
        <w:rPr>
          <w:rFonts w:ascii="Arial" w:hAnsi="Arial"/>
          <w:noProof w:val="0"/>
          <w:rtl/>
        </w:rPr>
        <w:t xml:space="preserve"> עליה המליצה הועדה ביום 1.2.2023 לא בוצעה כהלכה וזאת בשל חוסר שיתוף פעולה מצד פלוני שהכשיל את ביצועה על ידי אי מתן תשובות על מספר רב של שאלות.</w:t>
      </w:r>
    </w:p>
    <w:p w:rsidR="0029608D" w:rsidRDefault="0029608D" w:rsidP="0029608D">
      <w:pPr>
        <w:pStyle w:val="ad"/>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עוד צוין בערעור כי העבירות בוצעו בחודש נובמבר 2020, צו האשפוז ניתן בחודש מאי 2022 וכי בחודש נובמבר 2021 תקף פלוני סוהר באמצעות חתיכת מתכת ששבר מפחית משקה. כן צוין כי חרף צו הרחקה האוסר עליו ליצור קשר עם גרושתו הפר פלוני את הצו מספר פעמים וגורמי הרווחה התרשמו מרמת מסוכנות גבוהה מאוד מצדו של פלוני כלפי גרושתו ובנו, עד כדי צורך להעבירם למקלט, ככול שהוא ישוחרר מן האשפוז. על רקע דברים אלה נטען כי לא </w:t>
      </w:r>
      <w:r>
        <w:rPr>
          <w:rFonts w:ascii="Arial" w:hAnsi="Arial"/>
          <w:noProof w:val="0"/>
          <w:rtl/>
        </w:rPr>
        <w:lastRenderedPageBreak/>
        <w:t>חל שינוי יסודי, בסיסי ורציף לאורך זמן במצבו של פלוני, שיש בו כדי לשלול ברמת ודאות גבוהה את מסוכנותו.</w:t>
      </w:r>
    </w:p>
    <w:p w:rsidR="0029608D" w:rsidRDefault="0029608D" w:rsidP="0029608D">
      <w:pPr>
        <w:pStyle w:val="ad"/>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בערעורו של פלוני צוינה המלצת המחלקה שהובאה עוד בפני הועדה הראשונה, שם צוין כי פלוני אינו חולה, אינו זקוק לטיפול תרופתי וכי שהייתו במחלקה מיותרת (הוא "תופס מיטה ללא תועלת"). נטען כי החלטת הועדה שלא לשחרר את פלוני מן האשפוז הינה שגויה, בכך שהיא מתעלמת מכך שהאשפוז מזיק לבריאותו. לטענת פלוני, מדובר באשפוז מיותר והוא עושה מאמצים לשרוד ולשמור על שפיותו, חרף הקשיים הכרוכים באשפוז בבית חולים. נטען כי המשך האשפוז פוגע פגיעה שאינה מידתית בבריאותו, בכבודו ובחירותו של פלוני וכן באינטרס הציבורי.</w:t>
      </w:r>
    </w:p>
    <w:p w:rsidR="0029608D" w:rsidRDefault="0029608D" w:rsidP="0029608D">
      <w:pPr>
        <w:pStyle w:val="ad"/>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בדיון מיום 20.4.2023 התייחס ב"כ של פלוני לטענות היועץ המשפטי לממשלה בנימוקי הערעור מטעמו. צוין ביחס למבדק ה-</w:t>
      </w:r>
      <w:r>
        <w:rPr>
          <w:rFonts w:ascii="Arial" w:hAnsi="Arial"/>
          <w:noProof w:val="0"/>
        </w:rPr>
        <w:t>NMPI</w:t>
      </w:r>
      <w:r>
        <w:rPr>
          <w:rFonts w:ascii="Arial" w:hAnsi="Arial"/>
          <w:noProof w:val="0"/>
          <w:rtl/>
        </w:rPr>
        <w:t xml:space="preserve"> כי פלוני השיב ל-280 מתוך 300 שאלות ולא ניתן לאפיין זאת בהיעדר שיתוף פעולה מצדו. נטען כי קיים אצל פלוני שינוי רציף לאורך זמן ומשך הזמן הינו תלוי נסיבות. בהקשר זה הודגשה עמדת המחלקה בדבר התנהגותו במהלך האשפוז בבית החולים. ביחס לטענה בדבר תקיפת סוהר באמצעות פיסת מתכת, נטען כי לא הוגש כתב אישום בגין המעשה הנטען והוא מוכחש. ביחס להערכת המסוכנות של מחלקת הרווחה של עיריית ירושלים, נטען שאין לה קשר לשאלת מצבו הנפשי של פלוני ולסוגיית האשפוז הכפוי.</w:t>
      </w:r>
    </w:p>
    <w:p w:rsidR="0029608D" w:rsidRDefault="0029608D" w:rsidP="0029608D">
      <w:pPr>
        <w:spacing w:line="360" w:lineRule="auto"/>
        <w:jc w:val="both"/>
        <w:rPr>
          <w:rFonts w:ascii="Arial" w:hAnsi="Arial"/>
          <w:noProof w:val="0"/>
        </w:rPr>
      </w:pPr>
    </w:p>
    <w:p w:rsidR="0029608D" w:rsidRDefault="0029608D" w:rsidP="0029608D">
      <w:pPr>
        <w:spacing w:line="360" w:lineRule="auto"/>
        <w:jc w:val="both"/>
        <w:rPr>
          <w:rFonts w:ascii="Arial" w:hAnsi="Arial"/>
          <w:noProof w:val="0"/>
          <w:rtl/>
        </w:rPr>
      </w:pPr>
      <w:r>
        <w:rPr>
          <w:rFonts w:ascii="Arial" w:hAnsi="Arial"/>
          <w:b/>
          <w:bCs/>
          <w:noProof w:val="0"/>
          <w:u w:val="single"/>
          <w:rtl/>
        </w:rPr>
        <w:t>דיון והכרעה</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האמור להלן בפסקאות 16-18 מצוטט מפסק דיני מיום 3.11.22 בערעור הקודם מטעם פלוני שנשמע בפניי (ו"ע 44176-10-22).</w:t>
      </w:r>
    </w:p>
    <w:p w:rsidR="0029608D" w:rsidRDefault="0029608D" w:rsidP="0029608D">
      <w:pPr>
        <w:pStyle w:val="ad"/>
        <w:spacing w:line="360" w:lineRule="auto"/>
        <w:jc w:val="both"/>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מן הראוי להפנות לשלוש הוראות בחוק טיפול בחולי נפש. ההוראה הראשונה - הינה הוראת סעיף 28(ב1) לחוק הקובעת כך: </w:t>
      </w:r>
    </w:p>
    <w:p w:rsidR="0029608D" w:rsidRDefault="0029608D" w:rsidP="0029608D">
      <w:pPr>
        <w:spacing w:line="360" w:lineRule="auto"/>
        <w:jc w:val="both"/>
        <w:rPr>
          <w:rFonts w:ascii="Arial" w:hAnsi="Arial"/>
          <w:noProof w:val="0"/>
        </w:rPr>
      </w:pPr>
    </w:p>
    <w:p w:rsidR="0029608D" w:rsidRDefault="0029608D" w:rsidP="0029608D">
      <w:pPr>
        <w:spacing w:line="360" w:lineRule="auto"/>
        <w:ind w:left="1440"/>
        <w:jc w:val="both"/>
        <w:rPr>
          <w:rFonts w:ascii="Arial" w:hAnsi="Arial"/>
          <w:noProof w:val="0"/>
          <w:rtl/>
        </w:rPr>
      </w:pPr>
      <w:r>
        <w:rPr>
          <w:rFonts w:ascii="Arial" w:hAnsi="Arial"/>
          <w:b/>
          <w:bCs/>
          <w:noProof w:val="0"/>
          <w:rtl/>
        </w:rPr>
        <w:t>"הוועדה תחליט על שחרורו של חולה אם מצאה כי אין עוד הצדקה להמשך אשפוזו, נוכח מצבו הנפשי ונוכח מידת המסוכנות הנשקפת ממנו, בשים לב למצבו הנפשי".</w:t>
      </w:r>
    </w:p>
    <w:p w:rsidR="0029608D" w:rsidRDefault="0029608D" w:rsidP="0029608D">
      <w:pPr>
        <w:spacing w:line="360" w:lineRule="auto"/>
        <w:jc w:val="both"/>
        <w:rPr>
          <w:rFonts w:ascii="Arial" w:hAnsi="Arial"/>
          <w:noProof w:val="0"/>
          <w:rtl/>
        </w:rPr>
      </w:pPr>
    </w:p>
    <w:p w:rsidR="0029608D" w:rsidRDefault="0029608D" w:rsidP="0029608D">
      <w:pPr>
        <w:spacing w:line="360" w:lineRule="auto"/>
        <w:ind w:left="720"/>
        <w:jc w:val="both"/>
        <w:rPr>
          <w:rFonts w:ascii="Arial" w:hAnsi="Arial"/>
          <w:noProof w:val="0"/>
          <w:rtl/>
        </w:rPr>
      </w:pPr>
      <w:r>
        <w:rPr>
          <w:rFonts w:ascii="Arial" w:hAnsi="Arial"/>
          <w:noProof w:val="0"/>
          <w:rtl/>
        </w:rPr>
        <w:t xml:space="preserve">ההוראה השנייה, מפרטת את השיקולים שעל הוועדה לשקול הכוללים בין השאר, את השיקולים הבאים (כמפורט בסעיף 28(ב2) לחוק): </w:t>
      </w:r>
    </w:p>
    <w:p w:rsidR="0029608D" w:rsidRDefault="0029608D" w:rsidP="0029608D">
      <w:pPr>
        <w:spacing w:line="360" w:lineRule="auto"/>
        <w:jc w:val="both"/>
        <w:rPr>
          <w:rFonts w:ascii="Arial" w:hAnsi="Arial"/>
          <w:noProof w:val="0"/>
          <w:rtl/>
        </w:rPr>
      </w:pPr>
    </w:p>
    <w:p w:rsidR="0029608D" w:rsidRDefault="0029608D" w:rsidP="0029608D">
      <w:pPr>
        <w:spacing w:line="360" w:lineRule="auto"/>
        <w:ind w:left="1440"/>
        <w:jc w:val="both"/>
        <w:rPr>
          <w:rFonts w:ascii="Arial" w:hAnsi="Arial"/>
          <w:noProof w:val="0"/>
          <w:rtl/>
        </w:rPr>
      </w:pPr>
      <w:r>
        <w:rPr>
          <w:rFonts w:ascii="Arial" w:hAnsi="Arial"/>
          <w:b/>
          <w:bCs/>
          <w:noProof w:val="0"/>
          <w:rtl/>
        </w:rPr>
        <w:lastRenderedPageBreak/>
        <w:t>"בדיון לפי סעיף זה תשקול הוועדה בין השאר את השיקולים האלה: סיכויי שיקומו של החולה והתנאים לשיקום, ובכלל זה הטיפול הדרוש לשיקומו והסכות (פרוגנוזה) לגביו, נסיבות העבירה שבשלה ניתן צו האשפוז או הטיפול המרפאתי, עברו הפלילי של החולה ומשך הזמן שחלף מאז תחילת האשפוז או הטיפול המרפאתי".</w:t>
      </w:r>
    </w:p>
    <w:p w:rsidR="0029608D" w:rsidRDefault="0029608D" w:rsidP="0029608D">
      <w:pPr>
        <w:spacing w:line="360" w:lineRule="auto"/>
        <w:jc w:val="both"/>
        <w:rPr>
          <w:rFonts w:ascii="Arial" w:hAnsi="Arial"/>
          <w:noProof w:val="0"/>
          <w:rtl/>
        </w:rPr>
      </w:pPr>
    </w:p>
    <w:p w:rsidR="0029608D" w:rsidRDefault="0029608D" w:rsidP="0029608D">
      <w:pPr>
        <w:spacing w:line="360" w:lineRule="auto"/>
        <w:ind w:left="720"/>
        <w:jc w:val="both"/>
        <w:rPr>
          <w:rFonts w:ascii="Arial" w:hAnsi="Arial"/>
          <w:noProof w:val="0"/>
          <w:rtl/>
        </w:rPr>
      </w:pPr>
      <w:r>
        <w:rPr>
          <w:rFonts w:ascii="Arial" w:hAnsi="Arial"/>
          <w:noProof w:val="0"/>
          <w:rtl/>
        </w:rPr>
        <w:t xml:space="preserve">הוראת החוק השלישית עניינה - תנאי סף לשחרור, לחופשה או להמרת צו האשפוז לצו לטיפול מרפאתי, כמפורט בסעיף 28ג(ג) ביחס לסמכויות וועדה מיוחדת: </w:t>
      </w:r>
    </w:p>
    <w:p w:rsidR="0029608D" w:rsidRDefault="0029608D" w:rsidP="0029608D">
      <w:pPr>
        <w:spacing w:line="360" w:lineRule="auto"/>
        <w:jc w:val="both"/>
        <w:rPr>
          <w:rFonts w:ascii="Arial" w:hAnsi="Arial"/>
          <w:noProof w:val="0"/>
          <w:rtl/>
        </w:rPr>
      </w:pPr>
    </w:p>
    <w:p w:rsidR="0029608D" w:rsidRDefault="0029608D" w:rsidP="0029608D">
      <w:pPr>
        <w:spacing w:line="360" w:lineRule="auto"/>
        <w:ind w:left="1440"/>
        <w:jc w:val="both"/>
        <w:rPr>
          <w:rFonts w:ascii="Arial" w:hAnsi="Arial"/>
          <w:noProof w:val="0"/>
          <w:rtl/>
        </w:rPr>
      </w:pPr>
      <w:r>
        <w:rPr>
          <w:rFonts w:ascii="Arial" w:hAnsi="Arial"/>
          <w:b/>
          <w:bCs/>
          <w:noProof w:val="0"/>
          <w:rtl/>
        </w:rPr>
        <w:t>"ועדה מיוחדת תאשר לחולה חופשה לפי סעיף זה, רק אם סברה כי חל שינוי יסודי, בסיסי ורציף, לאורך זמן, במצבו הנפשי של החולה, וכי יש בו – בשים לב לתנאי השחרור והפיקוח – כדי לשלול ברמת ודאות גבוהה את מסוכנותו של הנאשם לשלום הציבור, לאנשים מסוימים או לעצמו".</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rPr>
          <w:rFonts w:ascii="Arial" w:hAnsi="Arial"/>
          <w:noProof w:val="0"/>
          <w:rtl/>
        </w:rPr>
      </w:pPr>
      <w:r>
        <w:rPr>
          <w:rtl/>
        </w:rPr>
        <w:t xml:space="preserve">בע"ו (חי') 46238-01-20 </w:t>
      </w:r>
      <w:r>
        <w:rPr>
          <w:b/>
          <w:bCs/>
          <w:rtl/>
        </w:rPr>
        <w:t xml:space="preserve">היועץ המשפטי לממשלה נ' פלוני </w:t>
      </w:r>
      <w:r>
        <w:rPr>
          <w:rtl/>
        </w:rPr>
        <w:t>(26.2.2020) נקבעו בהקשר</w:t>
      </w:r>
      <w:r>
        <w:rPr>
          <w:rFonts w:ascii="Arial" w:hAnsi="Arial"/>
          <w:noProof w:val="0"/>
          <w:rtl/>
        </w:rPr>
        <w:t xml:space="preserve"> זה הדברים הבאים, המקובלים גם עלי:</w:t>
      </w:r>
    </w:p>
    <w:p w:rsidR="0029608D" w:rsidRDefault="0029608D" w:rsidP="0029608D">
      <w:pPr>
        <w:spacing w:line="360" w:lineRule="auto"/>
        <w:jc w:val="both"/>
        <w:rPr>
          <w:rFonts w:ascii="Arial" w:hAnsi="Arial"/>
          <w:noProof w:val="0"/>
          <w:rtl/>
        </w:rPr>
      </w:pPr>
    </w:p>
    <w:p w:rsidR="0029608D" w:rsidRDefault="0029608D" w:rsidP="0029608D">
      <w:pPr>
        <w:spacing w:line="360" w:lineRule="auto"/>
        <w:ind w:left="1440"/>
        <w:jc w:val="both"/>
        <w:rPr>
          <w:rFonts w:ascii="Arial" w:hAnsi="Arial"/>
          <w:noProof w:val="0"/>
          <w:rtl/>
        </w:rPr>
      </w:pPr>
      <w:r>
        <w:rPr>
          <w:rFonts w:ascii="Arial" w:hAnsi="Arial"/>
          <w:b/>
          <w:bCs/>
          <w:noProof w:val="0"/>
          <w:rtl/>
        </w:rPr>
        <w:t xml:space="preserve">"על כך נאמר: על הוועדה המיוחדת להגיע למסקנה כי המסוכנות שבחולה היא נמוכה ויציבה במידה כזאת שניתן להוציאו ממסגרת האשפוז, לחופשה או לטיפול בקהילה. בדרך כלל, אין די במסוכנות בינונית. גם לא ניתן, מצד שני, ברוב המקרים, להגיע למסקנה מוחלטת בדבר העדר מסוכנות כלל. נדרשת מסוכנות נמוכה, או פחות מזה – נמוכה מאוד. נדרש כי מסקנה זאת תתבסס תתאשר ותחוזק על ידי התנאים המוקדמים בדבר קיומו של השינוי, מהותו והתארכותו לתקופת זמן מספקת. כפי שכתבתי בע"ו 21852-01-20 הנ"ל, "אורך התקופה ייגזר על פי היותו מספק, כדי להביא בפני הוועדה נתונים ומסכת דברים כזו, שאינה רגעית, אלא בעלת עומק, יציבה ומתמשכת, המאשרת את שלילת המסוכנות שבחולה, במידה מספקת ומבוססת, כנדרש". ובענייננו: במידה המספקת את הדרישה ל"רמת וודאות גבוהה". אם כך: אין לומר שתקופה זו תימדד על פי היחס שבינה לבין יתרת תקופת הצו המרבית. עליה להימדד על פי תוצאות יעילות ומתמשכות ברציפות ולאורך זמן של מצב נפשי משופר השולל או מפחית מסוכנות, פרי תוצאת הטיפול הפסיכיאטרי שמקבל החולה במסגרת של אשפוז". </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הנה כי כן, על הוועדה הפסיכיאטרית המיוחדת להביא במניין שיקוליה מגוון רחב של שיקולים ונסיבות, שאינם בהכרח שיקולים רפואיים. כך נקבע בע"ו (ת"א) 8061-09-15 </w:t>
      </w:r>
      <w:r>
        <w:rPr>
          <w:rFonts w:ascii="Arial" w:hAnsi="Arial"/>
          <w:b/>
          <w:bCs/>
          <w:noProof w:val="0"/>
          <w:rtl/>
        </w:rPr>
        <w:t>הונניאו נ' הוועדה הפסיכיאטרית המחוזית</w:t>
      </w:r>
      <w:r>
        <w:rPr>
          <w:rFonts w:ascii="Arial" w:hAnsi="Arial"/>
          <w:noProof w:val="0"/>
          <w:rtl/>
        </w:rPr>
        <w:t xml:space="preserve"> (20.9.15). באותו עניין נקבע, כי סעיף 28(ב2) </w:t>
      </w:r>
      <w:r>
        <w:rPr>
          <w:rFonts w:ascii="Arial" w:hAnsi="Arial"/>
          <w:noProof w:val="0"/>
          <w:rtl/>
        </w:rPr>
        <w:lastRenderedPageBreak/>
        <w:t>לחוק מטיל על כתפי הוועדה את החובה לשקול קשת רחבה של שיקולים בטרם תיתן החלטתה ובה בעת ניתנת לה, מכללא, גם סמכות לסטות מקביעת רופאיו של המטופל שמטבע הדברים מבססים את החלטתם על שיקולים רפואיים בלבד. במקרה הנוכחי, היה מקום כי הוועדה תתחשב בשיקולים הכוללים, בין היתר, את חומרת המעשים שפורטו בכתב האישום; את משך הזמן הקצר שחלף מאז אשפוזו של המערער בבית החולים (יוני 2022); ואת האירועים שנזכרו בדיון לפני הוועדה הנוגעים להתנהגות חריגה של המערער (הסתרת מכשיר פלאפון סלולרי והפרת צו הגנה כלפי גרושתו; שקרים לגבי אישורי יציאה של המערער).</w:t>
      </w:r>
    </w:p>
    <w:p w:rsidR="0029608D" w:rsidRDefault="0029608D" w:rsidP="0029608D">
      <w:pPr>
        <w:pStyle w:val="ad"/>
        <w:spacing w:line="360" w:lineRule="auto"/>
        <w:jc w:val="both"/>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בהקשר של האירועים הנזכרים בסיפת הפסקה האחרונה, שנכתבה בפסק דיני מיום 3.11.22,  ניתן לציין כי הועדה הפסיכיאטרית שדנה בעניינו של פלוני ביום 16.11.2022 התייחסה בנימוקיה להתרשמות עובדי הרווחה ופרטה את הדברים הבאים:</w:t>
      </w:r>
    </w:p>
    <w:p w:rsidR="0029608D" w:rsidRDefault="0029608D" w:rsidP="0029608D">
      <w:pPr>
        <w:pStyle w:val="ad"/>
        <w:rPr>
          <w:rFonts w:ascii="Arial" w:hAnsi="Arial"/>
          <w:noProof w:val="0"/>
        </w:rPr>
      </w:pPr>
    </w:p>
    <w:p w:rsidR="0029608D" w:rsidRDefault="0029608D" w:rsidP="0029608D">
      <w:pPr>
        <w:pStyle w:val="ad"/>
        <w:spacing w:line="360" w:lineRule="auto"/>
        <w:ind w:left="1440"/>
        <w:jc w:val="both"/>
        <w:rPr>
          <w:rFonts w:ascii="Arial" w:hAnsi="Arial"/>
          <w:b/>
          <w:bCs/>
          <w:noProof w:val="0"/>
          <w:rtl/>
        </w:rPr>
      </w:pPr>
      <w:r>
        <w:rPr>
          <w:rFonts w:ascii="Arial" w:hAnsi="Arial"/>
          <w:b/>
          <w:bCs/>
          <w:noProof w:val="0"/>
          <w:rtl/>
        </w:rPr>
        <w:t>"ממכתב של עובדות הרווחה בעיריית ירושלים עולה כי בת זוגו של המטופל תיארה בפניהן אלימות לכל סוגיה, שחוותה בתקופת חייהם המשותפים ואירועים הם אף בנם היה חשוף להתנהגות מסוכנת של האב – המטופל כלפי בנו בתקופת ינקותו. התרשמות עובדי הרווחה היא כי קיימת רמת מסוכנות גבוהה של פלוני כלפי בת זוגו (לשעבר) וצוין כי התקיימו במחלקת הרווחה שתי ועדות מוגנות. בוועדות אלה התרשמו עובדות הרווחה מרמת מסוכנות גבוהה מאוד של המטופל כלפי בת זוגו שלעבר וכלפי בנו. ועדת המוגנות המליצה לבת זוגו לשעבר לנקוט בכל האמצעים המתאימים על מנת להגן על עצמה ועל בנה, כולל צו הרחקה ממנה ומבנה כלפי המטופל. עוד המליצו ועדות המוגנות על יציאה למקלט, אם יוחלט על שחרורו של המטופל. עובדות הרווחה מצאו לציין כי גם לאחר הוצאת צו ההרחקה נגד המטופל, יצר הלה קשר עם בת זוגו לשעבר בדרכים שונות והיא הגישה תלונות על הפרת הצו. יצויין כי התרשמנו שלפחות בנקודה זו המטופל הוא דיסימולטיבי. הוא הכחיש כל מעשה אלים כלפי מאן דהוא ואף טען שהתקשר לבת הזוג לשעבר בטעות."</w:t>
      </w:r>
    </w:p>
    <w:p w:rsidR="0029608D" w:rsidRDefault="0029608D" w:rsidP="0029608D">
      <w:pPr>
        <w:spacing w:line="360" w:lineRule="auto"/>
        <w:jc w:val="both"/>
        <w:rPr>
          <w:rFonts w:ascii="Arial" w:hAnsi="Arial"/>
          <w:noProof w:val="0"/>
          <w:rtl/>
        </w:rPr>
      </w:pPr>
      <w:r>
        <w:rPr>
          <w:rFonts w:ascii="Arial" w:hAnsi="Arial"/>
          <w:noProof w:val="0"/>
          <w:rtl/>
        </w:rPr>
        <w:tab/>
      </w:r>
    </w:p>
    <w:p w:rsidR="0029608D" w:rsidRDefault="0029608D" w:rsidP="0029608D">
      <w:pPr>
        <w:spacing w:line="360" w:lineRule="auto"/>
        <w:ind w:firstLine="720"/>
        <w:jc w:val="both"/>
        <w:rPr>
          <w:rFonts w:ascii="Arial" w:hAnsi="Arial"/>
          <w:noProof w:val="0"/>
          <w:rtl/>
        </w:rPr>
      </w:pPr>
      <w:r>
        <w:rPr>
          <w:rFonts w:ascii="Arial" w:hAnsi="Arial"/>
          <w:noProof w:val="0"/>
          <w:rtl/>
        </w:rPr>
        <w:t>בהמשך נימוקיה ציינה אותה ועדה גם את הדברים הבאים:</w:t>
      </w:r>
    </w:p>
    <w:p w:rsidR="0029608D" w:rsidRDefault="0029608D" w:rsidP="0029608D">
      <w:pPr>
        <w:spacing w:line="360" w:lineRule="auto"/>
        <w:ind w:firstLine="720"/>
        <w:jc w:val="both"/>
        <w:rPr>
          <w:rFonts w:ascii="Arial" w:hAnsi="Arial"/>
          <w:noProof w:val="0"/>
          <w:rtl/>
        </w:rPr>
      </w:pPr>
    </w:p>
    <w:p w:rsidR="0029608D" w:rsidRDefault="0029608D" w:rsidP="0029608D">
      <w:pPr>
        <w:spacing w:line="360" w:lineRule="auto"/>
        <w:ind w:left="1440"/>
        <w:jc w:val="both"/>
        <w:rPr>
          <w:rFonts w:ascii="Arial" w:hAnsi="Arial"/>
          <w:b/>
          <w:bCs/>
          <w:noProof w:val="0"/>
          <w:rtl/>
        </w:rPr>
      </w:pPr>
      <w:r>
        <w:rPr>
          <w:rFonts w:ascii="Arial" w:hAnsi="Arial"/>
          <w:noProof w:val="0"/>
          <w:rtl/>
        </w:rPr>
        <w:t>"</w:t>
      </w:r>
      <w:r>
        <w:rPr>
          <w:rFonts w:ascii="Arial" w:hAnsi="Arial"/>
          <w:b/>
          <w:bCs/>
          <w:noProof w:val="0"/>
          <w:rtl/>
        </w:rPr>
        <w:t>במהלך הבדיקה דהיום התרשמנו כי למטופל דפוסי התנהגות של מכור לסמים ולפיכך שאלנו אותו מספר פעמים האם יסכים לטיפול גמילה, בקהילה טיפולית או במסגרת מחלקה לתחלואה כפולה. המטופל השיב בשלילה לשתי האפשרויות."</w:t>
      </w:r>
    </w:p>
    <w:p w:rsidR="0029608D" w:rsidRDefault="0029608D" w:rsidP="0029608D">
      <w:pPr>
        <w:spacing w:line="360" w:lineRule="auto"/>
        <w:ind w:left="1440"/>
        <w:jc w:val="both"/>
        <w:rPr>
          <w:rFonts w:ascii="Arial" w:hAnsi="Arial"/>
          <w:b/>
          <w:bCs/>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בעניינו של פלוני התקיימו מאז 2.10.2022 ועד 2.4.2023 (כ-6 חודשים) ארבעה דיונים בפני הרכבים שונים של ארבע ועדות פסיכיאטריות. בפני כל הועדות הוצגה עמדתו של פרופסור ליכטנברג, מנהל המחלקה בה פלוני מאושפז, ואף אחת מהן לא מצאה לנכון להורות על </w:t>
      </w:r>
      <w:r>
        <w:rPr>
          <w:rFonts w:ascii="Arial" w:hAnsi="Arial"/>
          <w:noProof w:val="0"/>
          <w:rtl/>
        </w:rPr>
        <w:lastRenderedPageBreak/>
        <w:t xml:space="preserve">שחרורו מאשפוז כפוי. לאור העמדה האחידה של כל ארבעת הועדות הפסיכיאטריות המיוחדות, לא מצאתי כי מקרה זה בא בגדר אותם מקרים חריגים ביותר המצדיקים התערבות של בית המשפט בקביעותיה הרפואיות ובמסקנותיה של הועדה הפסיכיאטרית המיוחדת, התערבות שעל פי הפסיקה צריכה להיות מסויגת בהיקפה ובעומקה (רע"א 8000/07 </w:t>
      </w:r>
      <w:r>
        <w:rPr>
          <w:rFonts w:ascii="Arial" w:hAnsi="Arial"/>
          <w:b/>
          <w:bCs/>
          <w:noProof w:val="0"/>
          <w:rtl/>
        </w:rPr>
        <w:t>היועץ המשפטי לממשלה נ' פלוני</w:t>
      </w:r>
      <w:r>
        <w:rPr>
          <w:rFonts w:ascii="Arial" w:hAnsi="Arial"/>
          <w:noProof w:val="0"/>
          <w:rtl/>
        </w:rPr>
        <w:t xml:space="preserve"> (2.4.2012)). משום כך, לא מצאתי מקום לקבל את ערעורו של פלוני, בחלק המתייחס לאפשרות שחרורו מבית החולים. בכל הנוגע לבקשת פלוני להתיר את יציאתו למאפיה ללא ליווי ובערעור היועץ המשפטי לממשלה על ההחלטה להתיר יציאות בליווי למאפיה, נעסוק עתה.</w:t>
      </w:r>
    </w:p>
    <w:p w:rsidR="0029608D" w:rsidRDefault="0029608D" w:rsidP="0029608D">
      <w:pPr>
        <w:pStyle w:val="ad"/>
        <w:spacing w:line="360" w:lineRule="auto"/>
        <w:jc w:val="both"/>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 xml:space="preserve">במרכז דיוננו עומדת הוראת סעיף 28ג (ג) לחוק טיפול בחולי נפש, המסמיך את הועדה המיוחדת לאשר חופשות לפי סעיף זה, רק אם סברה כי חל שינוי יסודי, בסיסי ורציף, לאורך זמן, במצבו הנפשי של החולה וכי יש בו כדי לשלול ברמת ודאות גבוהה את המסוכנות לשלום הציבור. לטענת היועץ המשפטי לממשלה, התיבה – "לאורך זמן" פורשה כתקופה ממושכת ביותר, על פי רוב-שנים. במקרה הנדון, העבירות בוצעו ביום 27.11.2020, דהיינו, לפני שנתיים וחמישה חודשים. בפסק הדין בע"ו (י-ם) 45285-02-13 </w:t>
      </w:r>
      <w:r>
        <w:rPr>
          <w:rFonts w:ascii="Arial" w:hAnsi="Arial"/>
          <w:b/>
          <w:bCs/>
          <w:noProof w:val="0"/>
          <w:rtl/>
        </w:rPr>
        <w:t>נ.א. נ' מדינת ישראל</w:t>
      </w:r>
      <w:r>
        <w:rPr>
          <w:rFonts w:ascii="Arial" w:hAnsi="Arial"/>
          <w:noProof w:val="0"/>
          <w:rtl/>
        </w:rPr>
        <w:t xml:space="preserve"> (16.3.2016) נדחה ערעורו של מטופל על החלטת הועדה הפסיכיאטרית המיוחדת שלא לאשר למערער יציאה לחופשות מאחר שחלפו אך שלוש שנים מאז קרות האירוע שבו רצח המערער באכזריות את בתו הפעוטה. נקבע כי שלוש שנים מהוות מעט מדי זמן וטרם הבשיל הזמן הראוי לשחרור המערער לחופשות קצרות אף אם בליווי, עקב חומרת המעשים, הסכנה לציבור וההד הציבורי שמעשיו גררו, ועקב הפגיעה האנושה באמון הציבור במערכת המשפט, אם יוחלט להתיר את החופשות. בפסק הדין בו"ע (ת"א) 53233-02-18 </w:t>
      </w:r>
      <w:r>
        <w:rPr>
          <w:rFonts w:ascii="Arial" w:hAnsi="Arial"/>
          <w:b/>
          <w:bCs/>
          <w:noProof w:val="0"/>
          <w:rtl/>
        </w:rPr>
        <w:t>פרקליטות מחוז ת"א פלילי נ' פלוני</w:t>
      </w:r>
      <w:r>
        <w:rPr>
          <w:rFonts w:ascii="Arial" w:hAnsi="Arial"/>
          <w:noProof w:val="0"/>
          <w:rtl/>
        </w:rPr>
        <w:t xml:space="preserve"> (27.2.2018) התקבל הערעור והחלטת הועדה הפסיכיאטרית המיוחדת להתיר למשיב לצאת לחופשות, בוטלה. למשיב יוחסו בכתב האישום מעשי אלימות קשים וחמורים אשר כללו דקירות באמצעות סכין של קרוב משפחתו כבן 69 ותקיפת קרובת משפחה כבת 68 בכך שהיכה אותה בראשה. אף שהועדה קבעה כי רמת המסוכנות הנשקפת מן המשיב היא ברמה בינונית, נקבע בפסק הדין כי בחלוף כשנתיים ממועד ביצוע המעשים המיוחסים למשיב, טרם בשלה העת להתיר את יציאתו לחופשות, תוך פירוט השיקולים הבאים שיש להביא בחשבון:</w:t>
      </w:r>
    </w:p>
    <w:p w:rsidR="0029608D" w:rsidRDefault="0029608D" w:rsidP="0029608D">
      <w:pPr>
        <w:pStyle w:val="ad"/>
        <w:spacing w:line="360" w:lineRule="auto"/>
        <w:jc w:val="both"/>
        <w:rPr>
          <w:rFonts w:ascii="Arial" w:hAnsi="Arial"/>
          <w:noProof w:val="0"/>
        </w:rPr>
      </w:pPr>
    </w:p>
    <w:p w:rsidR="0029608D" w:rsidRDefault="0029608D" w:rsidP="0029608D">
      <w:pPr>
        <w:pStyle w:val="ad"/>
        <w:spacing w:line="360" w:lineRule="auto"/>
        <w:ind w:left="1440"/>
        <w:jc w:val="both"/>
        <w:rPr>
          <w:rFonts w:ascii="Arial" w:hAnsi="Arial"/>
          <w:b/>
          <w:bCs/>
          <w:noProof w:val="0"/>
          <w:rtl/>
        </w:rPr>
      </w:pPr>
      <w:r>
        <w:rPr>
          <w:rFonts w:ascii="Arial" w:hAnsi="Arial"/>
          <w:b/>
          <w:bCs/>
          <w:noProof w:val="0"/>
          <w:rtl/>
        </w:rPr>
        <w:t xml:space="preserve">"23. </w:t>
      </w:r>
      <w:r>
        <w:rPr>
          <w:rFonts w:ascii="Arial" w:hAnsi="Arial"/>
          <w:b/>
          <w:bCs/>
          <w:noProof w:val="0"/>
          <w:rtl/>
        </w:rPr>
        <w:tab/>
        <w:t>לא נעלם מעיניי הצורך החשוב בשיקום החולה, ובכלל זה מתן חופשות. אולם, בשמירת מראית פני הצדק יש להביא בחשבון גם את חלוף הזמן בהשוואה לתקופת האשפוז המירבית, מקום החופשה וקרבתו למתלוננים, נסיבות ביצוע העבירה, ועוד שיקולים נוספים כמפורט לעיל. לא למותר לציין כי אין מדובר ברשימת שיקולים סגורה."</w:t>
      </w:r>
    </w:p>
    <w:p w:rsidR="0029608D" w:rsidRDefault="0029608D" w:rsidP="0029608D">
      <w:pPr>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lastRenderedPageBreak/>
        <w:t>בענייננו, מדובר ביציאה מבית החולים למאפיה הנמצאת בסמוך ומעבר לכביש מול בית החולים. מבחינת השיקולים שפורטו בציטוט המובא בסיפת הפסקה האחרונה, מדובר ביציאה למקום שאינו סמוך למקום הימצאם של המתלוננים. בהשוואה בין חלוף הזמן שעבר לבין תקופת האשפוז המירבית, הרי שנקבעה תקופת בת שנה בלבד, כך שמדובר בשיקול התומך בהחלטת הועדה (אף שטרם הוכרע ערעור המדינה על ההחלטה ביחס לתקופה המירבית). הועדה המיוחדת סברה כי מדובר במקרה חריג ביותר וכי פלוני זקוק לחזרה הדרגתית ומבוקרת לחיים סדירים בקהילה וכי דרכי ביניים ופתרונות הדרגתיים הם בגדר פתרון סביר בשלב הנוכחי למצב הבלתי רגיל של פלוני. לאחר חלוף כשנתיים וחמישה חודשים מאז בוצעו המעשים שתוארו בכתב האישום, אני סבור כי בנסיבות יוצאות הדופן של המקרה, אין מקום להתערב בהחלטת הועדה ולבטל את ההחלטה לאפשר לפלוני יציאות בליווי למאפיה, הסמוכה מאוד לבית החולים, בתדירות שתיקבע על ידי מנהל המחלקה.</w:t>
      </w:r>
    </w:p>
    <w:p w:rsidR="0029608D" w:rsidRDefault="0029608D" w:rsidP="0029608D">
      <w:pPr>
        <w:pStyle w:val="ad"/>
        <w:spacing w:line="360" w:lineRule="auto"/>
        <w:jc w:val="both"/>
        <w:rPr>
          <w:rFonts w:ascii="Arial" w:hAnsi="Arial"/>
          <w:noProof w:val="0"/>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מטעם פלוני נטען בערעור כי המאפיה נמצאת מעבר לכביש בקרבת בית החולים (ואף הוצגו בדיון תמונות המעידות על כך) ולכן, אין כל צורך בליווי. הועדה ציינה בהחלטתה כי יש צורך בליווי של פלוני ביציאה מבית החולים ובחזרה מן המאפיה "על אף שאנו מודעים לקרבת מקום העבודה לבית החולים". מכאן, שהועדה נתנה דעתה לקרבה הפיזית בין בית החולים ומקום העבודה וסברה כי הליווי נדרש, לשם שמירה על שלום הציבור. אינני סבור כי החלטת הועדה לוקה בחוסר סבירות המצדיק להתערב בה.</w:t>
      </w:r>
    </w:p>
    <w:p w:rsidR="0029608D" w:rsidRDefault="0029608D" w:rsidP="0029608D">
      <w:pPr>
        <w:pStyle w:val="ad"/>
        <w:spacing w:line="360" w:lineRule="auto"/>
        <w:jc w:val="both"/>
        <w:rPr>
          <w:rFonts w:ascii="Arial" w:hAnsi="Arial"/>
          <w:noProof w:val="0"/>
        </w:rPr>
      </w:pPr>
    </w:p>
    <w:p w:rsidR="0029608D" w:rsidRDefault="0029608D" w:rsidP="0029608D">
      <w:pPr>
        <w:spacing w:line="360" w:lineRule="auto"/>
        <w:jc w:val="both"/>
        <w:rPr>
          <w:rFonts w:ascii="Arial" w:hAnsi="Arial"/>
          <w:b/>
          <w:bCs/>
          <w:noProof w:val="0"/>
          <w:u w:val="single"/>
          <w:rtl/>
        </w:rPr>
      </w:pPr>
      <w:r>
        <w:rPr>
          <w:rFonts w:ascii="Arial" w:hAnsi="Arial"/>
          <w:b/>
          <w:bCs/>
          <w:noProof w:val="0"/>
          <w:u w:val="single"/>
          <w:rtl/>
        </w:rPr>
        <w:t>סוף דבר</w:t>
      </w:r>
    </w:p>
    <w:p w:rsidR="0029608D" w:rsidRDefault="0029608D" w:rsidP="0029608D">
      <w:pPr>
        <w:pStyle w:val="ad"/>
        <w:spacing w:line="360" w:lineRule="auto"/>
        <w:jc w:val="both"/>
        <w:rPr>
          <w:rFonts w:ascii="Arial" w:hAnsi="Arial"/>
          <w:noProof w:val="0"/>
          <w:rtl/>
        </w:rPr>
      </w:pPr>
    </w:p>
    <w:p w:rsidR="0029608D" w:rsidRDefault="0029608D" w:rsidP="0029608D">
      <w:pPr>
        <w:pStyle w:val="ad"/>
        <w:numPr>
          <w:ilvl w:val="0"/>
          <w:numId w:val="1"/>
        </w:numPr>
        <w:spacing w:line="360" w:lineRule="auto"/>
        <w:jc w:val="both"/>
        <w:rPr>
          <w:rFonts w:ascii="Arial" w:hAnsi="Arial"/>
          <w:noProof w:val="0"/>
          <w:rtl/>
        </w:rPr>
      </w:pPr>
      <w:r>
        <w:rPr>
          <w:rFonts w:ascii="Arial" w:hAnsi="Arial"/>
          <w:noProof w:val="0"/>
          <w:rtl/>
        </w:rPr>
        <w:t>לאור האמור לעיל, שני הערעורים על החלטת הועדה נדחים בזאת.</w:t>
      </w:r>
    </w:p>
    <w:p w:rsidR="0029608D" w:rsidRDefault="0029608D" w:rsidP="0029608D">
      <w:pPr>
        <w:pStyle w:val="ad"/>
        <w:spacing w:line="360" w:lineRule="auto"/>
        <w:jc w:val="both"/>
        <w:rPr>
          <w:rFonts w:ascii="Arial" w:hAnsi="Arial"/>
          <w:noProof w:val="0"/>
        </w:rPr>
      </w:pPr>
    </w:p>
    <w:p w:rsidR="0029608D" w:rsidRDefault="0029608D" w:rsidP="0029608D">
      <w:pPr>
        <w:spacing w:line="360" w:lineRule="auto"/>
        <w:jc w:val="both"/>
        <w:rPr>
          <w:rFonts w:ascii="Arial" w:hAnsi="Arial"/>
          <w:noProof w:val="0"/>
          <w:rtl/>
        </w:rPr>
      </w:pPr>
      <w:r>
        <w:rPr>
          <w:rFonts w:ascii="Arial" w:hAnsi="Arial"/>
          <w:b/>
          <w:bCs/>
          <w:noProof w:val="0"/>
          <w:rtl/>
        </w:rPr>
        <w:t>המזכירות תמציא את פסק הדין לב"כ הצדדים ולבית החולים</w:t>
      </w:r>
      <w:r>
        <w:rPr>
          <w:rFonts w:ascii="Arial" w:hAnsi="Arial"/>
          <w:noProof w:val="0"/>
          <w:rtl/>
        </w:rPr>
        <w:t>.</w:t>
      </w:r>
    </w:p>
    <w:p w:rsidR="0029608D" w:rsidRDefault="0029608D" w:rsidP="0029608D">
      <w:pPr>
        <w:spacing w:line="360" w:lineRule="auto"/>
        <w:jc w:val="both"/>
        <w:rPr>
          <w:rFonts w:ascii="Arial" w:hAnsi="Arial"/>
          <w:noProof w:val="0"/>
          <w:rtl/>
        </w:rPr>
      </w:pPr>
    </w:p>
    <w:p w:rsidR="0029608D" w:rsidRDefault="0029608D" w:rsidP="0029608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noProof w:val="0"/>
              <w:rtl/>
            </w:rPr>
            <w:t>ג' אייר תשפ"ג</w:t>
          </w:r>
        </w:sdtContent>
      </w:sdt>
      <w:r>
        <w:rPr>
          <w:rFonts w:ascii="Arial" w:hAnsi="Arial"/>
          <w:noProof w:val="0"/>
          <w:rtl/>
        </w:rPr>
        <w:t xml:space="preserve">, </w:t>
      </w:r>
      <w:sdt>
        <w:sdtPr>
          <w:rPr>
            <w:rtl/>
          </w:rPr>
          <w:alias w:val="1456"/>
          <w:tag w:val="1456"/>
          <w:id w:val="1108006587"/>
          <w:text w:multiLine="1"/>
        </w:sdtPr>
        <w:sdtEndPr/>
        <w:sdtContent>
          <w:r>
            <w:rPr>
              <w:rFonts w:ascii="Arial" w:hAnsi="Arial"/>
              <w:noProof w:val="0"/>
              <w:rtl/>
            </w:rPr>
            <w:t>24 אפריל 2023</w:t>
          </w:r>
        </w:sdtContent>
      </w:sdt>
      <w:r>
        <w:rPr>
          <w:rFonts w:ascii="Arial" w:hAnsi="Arial"/>
          <w:noProof w:val="0"/>
          <w:rtl/>
        </w:rPr>
        <w:t>, בהעדר הצדדים.</w:t>
      </w:r>
    </w:p>
    <w:p w:rsidR="0029608D" w:rsidRDefault="0029608D" w:rsidP="0029608D">
      <w:pPr>
        <w:spacing w:line="360" w:lineRule="auto"/>
        <w:jc w:val="both"/>
        <w:rPr>
          <w:rFonts w:ascii="Arial" w:hAnsi="Arial"/>
          <w:noProof w:val="0"/>
          <w:rtl/>
        </w:rPr>
      </w:pPr>
    </w:p>
    <w:tbl>
      <w:tblPr>
        <w:tblStyle w:val="a9"/>
        <w:bidiVisual/>
        <w:tblW w:w="3708" w:type="dxa"/>
        <w:tblInd w:w="493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29608D" w:rsidTr="0029608D">
        <w:trPr>
          <w:trHeight w:val="364"/>
        </w:trPr>
        <w:tc>
          <w:tcPr>
            <w:tcW w:w="3708" w:type="dxa"/>
            <w:tcBorders>
              <w:top w:val="nil"/>
              <w:left w:val="nil"/>
              <w:bottom w:val="single" w:sz="4" w:space="0" w:color="auto"/>
              <w:right w:val="nil"/>
            </w:tcBorders>
          </w:tcPr>
          <w:p w:rsidR="0029608D" w:rsidRDefault="00350B78">
            <w:pPr>
              <w:jc w:val="center"/>
              <w:rPr>
                <w:rFonts w:cs="Times New Roman"/>
                <w:noProof w:val="0"/>
                <w:rtl/>
              </w:rPr>
            </w:pPr>
            <w:sdt>
              <w:sdtPr>
                <w:rPr>
                  <w:rFonts w:cs="Times New Roman" w:hint="cs"/>
                  <w:rtl/>
                </w:rPr>
                <w:alias w:val="MergeField"/>
                <w:tag w:val="2144"/>
                <w:id w:val="-1171556164"/>
              </w:sdtPr>
              <w:sdtEndPr/>
              <w:sdtContent>
                <w:r w:rsidR="0029608D">
                  <w:drawing>
                    <wp:inline distT="0" distB="0" distL="0" distR="0">
                      <wp:extent cx="1515110" cy="573405"/>
                      <wp:effectExtent l="0" t="0" r="889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5110" cy="573405"/>
                              </a:xfrm>
                              <a:prstGeom prst="rect">
                                <a:avLst/>
                              </a:prstGeom>
                              <a:noFill/>
                              <a:ln>
                                <a:noFill/>
                              </a:ln>
                            </pic:spPr>
                          </pic:pic>
                        </a:graphicData>
                      </a:graphic>
                    </wp:inline>
                  </w:drawing>
                </w:r>
              </w:sdtContent>
            </w:sdt>
          </w:p>
          <w:p w:rsidR="0029608D" w:rsidRDefault="0029608D">
            <w:pPr>
              <w:jc w:val="center"/>
              <w:rPr>
                <w:sz w:val="26"/>
                <w:szCs w:val="26"/>
              </w:rPr>
            </w:pPr>
          </w:p>
        </w:tc>
      </w:tr>
      <w:tr w:rsidR="0029608D" w:rsidTr="0029608D">
        <w:trPr>
          <w:trHeight w:val="415"/>
        </w:trPr>
        <w:tc>
          <w:tcPr>
            <w:tcW w:w="3708" w:type="dxa"/>
            <w:tcBorders>
              <w:top w:val="single" w:sz="4" w:space="0" w:color="auto"/>
              <w:left w:val="nil"/>
              <w:bottom w:val="nil"/>
              <w:right w:val="nil"/>
            </w:tcBorders>
            <w:hideMark/>
          </w:tcPr>
          <w:p w:rsidR="0029608D" w:rsidRDefault="00350B78">
            <w:pPr>
              <w:jc w:val="center"/>
              <w:rPr>
                <w:b/>
                <w:bCs/>
                <w:sz w:val="26"/>
                <w:szCs w:val="26"/>
              </w:rPr>
            </w:pPr>
            <w:sdt>
              <w:sdtPr>
                <w:rPr>
                  <w:rtl/>
                </w:rPr>
                <w:alias w:val="2141"/>
                <w:tag w:val="2141"/>
                <w:id w:val="424146769"/>
                <w:text w:multiLine="1"/>
              </w:sdtPr>
              <w:sdtEndPr/>
              <w:sdtContent>
                <w:r w:rsidR="0029608D">
                  <w:rPr>
                    <w:b/>
                    <w:bCs/>
                    <w:sz w:val="26"/>
                    <w:szCs w:val="26"/>
                    <w:rtl/>
                  </w:rPr>
                  <w:t>אביגדור</w:t>
                </w:r>
              </w:sdtContent>
            </w:sdt>
            <w:r w:rsidR="0029608D">
              <w:rPr>
                <w:b/>
                <w:bCs/>
                <w:sz w:val="26"/>
                <w:szCs w:val="26"/>
                <w:rtl/>
              </w:rPr>
              <w:t xml:space="preserve"> </w:t>
            </w:r>
            <w:sdt>
              <w:sdtPr>
                <w:rPr>
                  <w:rFonts w:cs="Times New Roman" w:hint="cs"/>
                  <w:rtl/>
                </w:rPr>
                <w:alias w:val="2142"/>
                <w:tag w:val="2142"/>
                <w:id w:val="1434550607"/>
                <w:text w:multiLine="1"/>
              </w:sdtPr>
              <w:sdtEndPr/>
              <w:sdtContent>
                <w:r w:rsidR="0029608D">
                  <w:rPr>
                    <w:b/>
                    <w:bCs/>
                    <w:sz w:val="26"/>
                    <w:szCs w:val="26"/>
                    <w:rtl/>
                  </w:rPr>
                  <w:t>דורות</w:t>
                </w:r>
              </w:sdtContent>
            </w:sdt>
            <w:r w:rsidR="0029608D">
              <w:rPr>
                <w:b/>
                <w:bCs/>
                <w:sz w:val="26"/>
                <w:szCs w:val="26"/>
                <w:rtl/>
              </w:rPr>
              <w:t xml:space="preserve">, </w:t>
            </w:r>
            <w:sdt>
              <w:sdtPr>
                <w:rPr>
                  <w:rFonts w:cs="Times New Roman" w:hint="cs"/>
                  <w:rtl/>
                </w:rPr>
                <w:alias w:val="2143"/>
                <w:tag w:val="2143"/>
                <w:id w:val="148415121"/>
                <w:text w:multiLine="1"/>
              </w:sdtPr>
              <w:sdtEndPr/>
              <w:sdtContent>
                <w:r w:rsidR="0029608D">
                  <w:rPr>
                    <w:b/>
                    <w:bCs/>
                    <w:sz w:val="26"/>
                    <w:szCs w:val="26"/>
                    <w:rtl/>
                  </w:rPr>
                  <w:t>שופט</w:t>
                </w:r>
              </w:sdtContent>
            </w:sdt>
          </w:p>
        </w:tc>
      </w:tr>
    </w:tbl>
    <w:p w:rsidR="0029608D" w:rsidRDefault="0029608D" w:rsidP="0029608D">
      <w:pPr>
        <w:spacing w:line="360" w:lineRule="auto"/>
        <w:jc w:val="both"/>
        <w:rPr>
          <w:rFonts w:ascii="Arial" w:hAnsi="Arial"/>
          <w:noProof w:val="0"/>
        </w:rPr>
      </w:pPr>
    </w:p>
    <w:sectPr w:rsidR="0029608D"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B78" w:rsidRDefault="00350B78">
      <w:r>
        <w:separator/>
      </w:r>
    </w:p>
  </w:endnote>
  <w:endnote w:type="continuationSeparator" w:id="0">
    <w:p w:rsidR="00350B78" w:rsidRDefault="0035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34511">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604B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604BD">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B78" w:rsidRDefault="00350B78">
      <w:r>
        <w:separator/>
      </w:r>
    </w:p>
  </w:footnote>
  <w:footnote w:type="continuationSeparator" w:id="0">
    <w:p w:rsidR="00350B78" w:rsidRDefault="0035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220EE">
    <w:pPr>
      <w:pStyle w:val="a3"/>
      <w:jc w:val="center"/>
      <w:rPr>
        <w:rFonts w:cs="FrankRuehl"/>
        <w:noProof w:val="0"/>
        <w:sz w:val="28"/>
        <w:szCs w:val="28"/>
        <w:rtl/>
      </w:rPr>
    </w:pPr>
    <w:r>
      <w:rPr>
        <w:rFonts w:cs="FrankRuehl"/>
        <w:sz w:val="28"/>
        <w:szCs w:val="28"/>
      </w:rPr>
      <w:drawing>
        <wp:inline distT="0" distB="0" distL="0" distR="0" wp14:anchorId="36A1687E" wp14:editId="69328B2E">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2"/>
      <w:gridCol w:w="3593"/>
    </w:tblGrid>
    <w:tr w:rsidR="00694556">
      <w:trPr>
        <w:trHeight w:hRule="exact" w:val="418"/>
        <w:jc w:val="center"/>
      </w:trPr>
      <w:tc>
        <w:tcPr>
          <w:tcW w:w="8721" w:type="dxa"/>
          <w:gridSpan w:val="2"/>
        </w:tcPr>
        <w:p w:rsidR="00694556" w:rsidRDefault="001B3D05">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Fonts w:cs="Times New Roman"/>
            <w:rtl/>
          </w:rPr>
          <w:alias w:val="1456"/>
          <w:tag w:val="1456"/>
          <w:id w:val="596214092"/>
          <w:text/>
        </w:sdtPr>
        <w:sdtEndPr/>
        <w:sdtContent>
          <w:tc>
            <w:tcPr>
              <w:tcW w:w="3674" w:type="dxa"/>
            </w:tcPr>
            <w:p w:rsidR="00694556" w:rsidRDefault="0029608D" w:rsidP="0029608D">
              <w:pPr>
                <w:pStyle w:val="a3"/>
                <w:jc w:val="right"/>
                <w:rPr>
                  <w:b/>
                  <w:bCs/>
                  <w:noProof w:val="0"/>
                  <w:sz w:val="26"/>
                  <w:szCs w:val="26"/>
                  <w:rtl/>
                </w:rPr>
              </w:pPr>
              <w:r>
                <w:rPr>
                  <w:rFonts w:cs="Times New Roman"/>
                  <w:b/>
                  <w:bCs/>
                  <w:noProof w:val="0"/>
                  <w:sz w:val="26"/>
                  <w:szCs w:val="26"/>
                  <w:rtl/>
                </w:rPr>
                <w:t>24 אפריל 2023</w:t>
              </w:r>
            </w:p>
          </w:tc>
        </w:sdtContent>
      </w:sdt>
    </w:tr>
    <w:tr w:rsidR="00694556">
      <w:trPr>
        <w:trHeight w:val="337"/>
        <w:jc w:val="center"/>
      </w:trPr>
      <w:tc>
        <w:tcPr>
          <w:tcW w:w="8721" w:type="dxa"/>
          <w:gridSpan w:val="2"/>
        </w:tcPr>
        <w:p w:rsidR="0029608D" w:rsidRDefault="00350B78" w:rsidP="0029608D">
          <w:pPr>
            <w:rPr>
              <w:b/>
              <w:bCs/>
              <w:noProof w:val="0"/>
              <w:sz w:val="26"/>
              <w:szCs w:val="26"/>
            </w:rPr>
          </w:pPr>
          <w:sdt>
            <w:sdtPr>
              <w:rPr>
                <w:rtl/>
              </w:rPr>
              <w:alias w:val="1170"/>
              <w:tag w:val="1170"/>
              <w:id w:val="-439763973"/>
              <w:text w:multiLine="1"/>
            </w:sdtPr>
            <w:sdtEndPr/>
            <w:sdtContent>
              <w:r w:rsidR="0029608D">
                <w:rPr>
                  <w:b/>
                  <w:bCs/>
                  <w:noProof w:val="0"/>
                  <w:sz w:val="26"/>
                  <w:szCs w:val="26"/>
                  <w:rtl/>
                </w:rPr>
                <w:t>ע"ו</w:t>
              </w:r>
            </w:sdtContent>
          </w:sdt>
          <w:r w:rsidR="0029608D">
            <w:rPr>
              <w:b/>
              <w:bCs/>
              <w:noProof w:val="0"/>
              <w:sz w:val="26"/>
              <w:szCs w:val="26"/>
              <w:rtl/>
            </w:rPr>
            <w:t xml:space="preserve"> </w:t>
          </w:r>
          <w:sdt>
            <w:sdtPr>
              <w:rPr>
                <w:rtl/>
              </w:rPr>
              <w:alias w:val="1171"/>
              <w:tag w:val="1171"/>
              <w:id w:val="-418721140"/>
              <w:text w:multiLine="1"/>
            </w:sdtPr>
            <w:sdtEndPr/>
            <w:sdtContent>
              <w:r w:rsidR="0029608D">
                <w:rPr>
                  <w:b/>
                  <w:bCs/>
                  <w:noProof w:val="0"/>
                  <w:sz w:val="26"/>
                  <w:szCs w:val="26"/>
                  <w:rtl/>
                </w:rPr>
                <w:t>8613-04-23</w:t>
              </w:r>
            </w:sdtContent>
          </w:sdt>
          <w:r w:rsidR="0029608D">
            <w:rPr>
              <w:b/>
              <w:bCs/>
              <w:noProof w:val="0"/>
              <w:sz w:val="26"/>
              <w:szCs w:val="26"/>
              <w:rtl/>
            </w:rPr>
            <w:t xml:space="preserve"> </w:t>
          </w:r>
          <w:sdt>
            <w:sdtPr>
              <w:rPr>
                <w:rtl/>
              </w:rPr>
              <w:alias w:val="1172"/>
              <w:tag w:val="1172"/>
              <w:id w:val="-1527558386"/>
              <w:text w:multiLine="1"/>
            </w:sdtPr>
            <w:sdtEndPr/>
            <w:sdtContent>
              <w:r w:rsidR="0029608D">
                <w:rPr>
                  <w:b/>
                  <w:bCs/>
                  <w:noProof w:val="0"/>
                  <w:sz w:val="26"/>
                  <w:szCs w:val="26"/>
                  <w:rtl/>
                </w:rPr>
                <w:t xml:space="preserve">היועץ המשפטי לממשלה נ' </w:t>
              </w:r>
              <w:r w:rsidR="0029608D">
                <w:rPr>
                  <w:rFonts w:hint="cs"/>
                  <w:b/>
                  <w:bCs/>
                  <w:noProof w:val="0"/>
                  <w:sz w:val="26"/>
                  <w:szCs w:val="26"/>
                  <w:rtl/>
                </w:rPr>
                <w:t>פלוני</w:t>
              </w:r>
              <w:r w:rsidR="0029608D">
                <w:rPr>
                  <w:b/>
                  <w:bCs/>
                  <w:noProof w:val="0"/>
                  <w:sz w:val="26"/>
                  <w:szCs w:val="26"/>
                  <w:rtl/>
                </w:rPr>
                <w:t xml:space="preserve"> </w:t>
              </w:r>
            </w:sdtContent>
          </w:sdt>
        </w:p>
        <w:p w:rsidR="0029608D" w:rsidRDefault="0029608D" w:rsidP="0029608D">
          <w:pPr>
            <w:rPr>
              <w:b/>
              <w:bCs/>
              <w:sz w:val="26"/>
              <w:szCs w:val="26"/>
              <w:rtl/>
            </w:rPr>
          </w:pPr>
          <w:r>
            <w:rPr>
              <w:b/>
              <w:bCs/>
              <w:sz w:val="26"/>
              <w:szCs w:val="26"/>
              <w:rtl/>
            </w:rPr>
            <w:t xml:space="preserve">ע"ו 28007-04-23  </w:t>
          </w:r>
          <w:r>
            <w:rPr>
              <w:rFonts w:hint="cs"/>
              <w:b/>
              <w:bCs/>
              <w:sz w:val="26"/>
              <w:szCs w:val="26"/>
              <w:rtl/>
            </w:rPr>
            <w:t xml:space="preserve">פלוני </w:t>
          </w:r>
          <w:r>
            <w:rPr>
              <w:b/>
              <w:bCs/>
              <w:sz w:val="26"/>
              <w:szCs w:val="26"/>
              <w:rtl/>
            </w:rPr>
            <w:t>נ' מדינת ישראל</w:t>
          </w:r>
        </w:p>
        <w:p w:rsidR="00723FE1" w:rsidRDefault="00723FE1">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040E6"/>
    <w:multiLevelType w:val="hybridMultilevel"/>
    <w:tmpl w:val="2E2839DE"/>
    <w:lvl w:ilvl="0" w:tplc="8822F620">
      <w:start w:val="1"/>
      <w:numFmt w:val="decimal"/>
      <w:lvlText w:val="%1."/>
      <w:lvlJc w:val="left"/>
      <w:pPr>
        <w:ind w:left="720" w:hanging="360"/>
      </w:pPr>
      <w:rPr>
        <w:b/>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8FA2B5A"/>
    <w:multiLevelType w:val="hybridMultilevel"/>
    <w:tmpl w:val="119AA8B2"/>
    <w:lvl w:ilvl="0" w:tplc="944460C6">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564AB"/>
    <w:rsid w:val="00064FBD"/>
    <w:rsid w:val="00096AF7"/>
    <w:rsid w:val="000C3B0F"/>
    <w:rsid w:val="000F0BC8"/>
    <w:rsid w:val="00107E6D"/>
    <w:rsid w:val="00144D2A"/>
    <w:rsid w:val="00180519"/>
    <w:rsid w:val="001B3D05"/>
    <w:rsid w:val="001C4003"/>
    <w:rsid w:val="002265FF"/>
    <w:rsid w:val="0029608D"/>
    <w:rsid w:val="00320433"/>
    <w:rsid w:val="00350B78"/>
    <w:rsid w:val="0036743F"/>
    <w:rsid w:val="003E504C"/>
    <w:rsid w:val="0043125D"/>
    <w:rsid w:val="0043502B"/>
    <w:rsid w:val="004C4BDF"/>
    <w:rsid w:val="004E4D82"/>
    <w:rsid w:val="004E6E3C"/>
    <w:rsid w:val="005268F6"/>
    <w:rsid w:val="00547DB7"/>
    <w:rsid w:val="006220EE"/>
    <w:rsid w:val="00622BAA"/>
    <w:rsid w:val="00671BD5"/>
    <w:rsid w:val="006805C1"/>
    <w:rsid w:val="00694556"/>
    <w:rsid w:val="006E1A53"/>
    <w:rsid w:val="006F3D44"/>
    <w:rsid w:val="00723FE1"/>
    <w:rsid w:val="007E6115"/>
    <w:rsid w:val="007E74FF"/>
    <w:rsid w:val="00820005"/>
    <w:rsid w:val="00896889"/>
    <w:rsid w:val="008C5714"/>
    <w:rsid w:val="00903896"/>
    <w:rsid w:val="00906F3D"/>
    <w:rsid w:val="009525C5"/>
    <w:rsid w:val="009C690F"/>
    <w:rsid w:val="00A94B64"/>
    <w:rsid w:val="00AC5209"/>
    <w:rsid w:val="00B34511"/>
    <w:rsid w:val="00B604BD"/>
    <w:rsid w:val="00B80CBD"/>
    <w:rsid w:val="00B86096"/>
    <w:rsid w:val="00BF1908"/>
    <w:rsid w:val="00C22D93"/>
    <w:rsid w:val="00C34482"/>
    <w:rsid w:val="00C63E89"/>
    <w:rsid w:val="00D06F79"/>
    <w:rsid w:val="00D23899"/>
    <w:rsid w:val="00D33B86"/>
    <w:rsid w:val="00D53924"/>
    <w:rsid w:val="00D96D8C"/>
    <w:rsid w:val="00DA6649"/>
    <w:rsid w:val="00E54642"/>
    <w:rsid w:val="00EA5450"/>
    <w:rsid w:val="00EC37E9"/>
    <w:rsid w:val="00EE65E3"/>
    <w:rsid w:val="00F84B6D"/>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FF54C2-7914-4AA1-8B09-1757816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06F79"/>
    <w:rPr>
      <w:color w:val="808080"/>
    </w:rPr>
  </w:style>
  <w:style w:type="paragraph" w:styleId="ad">
    <w:name w:val="List Paragraph"/>
    <w:basedOn w:val="a"/>
    <w:uiPriority w:val="34"/>
    <w:qFormat/>
    <w:rsid w:val="002960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362903">
      <w:bodyDiv w:val="1"/>
      <w:marLeft w:val="0"/>
      <w:marRight w:val="0"/>
      <w:marTop w:val="0"/>
      <w:marBottom w:val="0"/>
      <w:divBdr>
        <w:top w:val="none" w:sz="0" w:space="0" w:color="auto"/>
        <w:left w:val="none" w:sz="0" w:space="0" w:color="auto"/>
        <w:bottom w:val="none" w:sz="0" w:space="0" w:color="auto"/>
        <w:right w:val="none" w:sz="0" w:space="0" w:color="auto"/>
      </w:divBdr>
    </w:div>
    <w:div w:id="699739711">
      <w:bodyDiv w:val="1"/>
      <w:marLeft w:val="0"/>
      <w:marRight w:val="0"/>
      <w:marTop w:val="0"/>
      <w:marBottom w:val="0"/>
      <w:divBdr>
        <w:top w:val="none" w:sz="0" w:space="0" w:color="auto"/>
        <w:left w:val="none" w:sz="0" w:space="0" w:color="auto"/>
        <w:bottom w:val="none" w:sz="0" w:space="0" w:color="auto"/>
        <w:right w:val="none" w:sz="0" w:space="0" w:color="auto"/>
      </w:divBdr>
    </w:div>
    <w:div w:id="101210065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3494</Words>
  <Characters>17474</Characters>
  <Application>Microsoft Office Word</Application>
  <DocSecurity>0</DocSecurity>
  <Lines>145</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2023-04-30T10:03:00Z</dcterms:created>
  <dcterms:modified xsi:type="dcterms:W3CDTF">2023-04-30T10:03:00Z</dcterms:modified>
</cp:coreProperties>
</file>